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p14:paraId="2C078E63" wp14:textId="77777777"/>
    <w:p w:rsidR="66C8C8D7" w:rsidRDefault="66C8C8D7" w14:paraId="0EAF2A1B" w14:textId="18E6A321"/>
    <w:p w:rsidR="35240A73" w:rsidP="66C8C8D7" w:rsidRDefault="35240A73" w14:paraId="4F0D1356" w14:textId="69EA7B0C">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1"/>
          <w:bCs w:val="1"/>
          <w:i w:val="1"/>
          <w:iCs w:val="1"/>
        </w:rPr>
      </w:pPr>
      <w:r w:rsidRPr="66C8C8D7" w:rsidR="35240A73">
        <w:rPr>
          <w:rFonts w:ascii="Times New Roman" w:hAnsi="Times New Roman" w:eastAsia="Times New Roman" w:cs="Times New Roman"/>
          <w:b w:val="1"/>
          <w:bCs w:val="1"/>
          <w:i w:val="1"/>
          <w:iCs w:val="1"/>
        </w:rPr>
        <w:t>Curated Collection of Graded Tasks</w:t>
      </w:r>
    </w:p>
    <w:p w:rsidR="66C8C8D7" w:rsidP="66C8C8D7" w:rsidRDefault="66C8C8D7" w14:paraId="3BEF09E1" w14:textId="21BD3E84">
      <w:pPr>
        <w:pStyle w:val="Normal"/>
        <w:suppressLineNumbers w:val="0"/>
        <w:bidi w:val="0"/>
        <w:spacing w:before="0" w:beforeAutospacing="off" w:after="160" w:afterAutospacing="off" w:line="279" w:lineRule="auto"/>
        <w:ind w:left="0" w:right="0"/>
        <w:jc w:val="left"/>
        <w:rPr>
          <w:rFonts w:ascii="Times New Roman" w:hAnsi="Times New Roman" w:eastAsia="Times New Roman" w:cs="Times New Roman"/>
          <w:b w:val="0"/>
          <w:bCs w:val="0"/>
          <w:i w:val="0"/>
          <w:iCs w:val="0"/>
        </w:rPr>
      </w:pPr>
    </w:p>
    <w:p w:rsidR="35240A73" w:rsidP="66C8C8D7" w:rsidRDefault="35240A73" w14:paraId="215E7CF2" w14:textId="50E40FA3">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r w:rsidRPr="66C8C8D7" w:rsidR="35240A73">
        <w:rPr>
          <w:rFonts w:ascii="Times New Roman" w:hAnsi="Times New Roman" w:eastAsia="Times New Roman" w:cs="Times New Roman"/>
          <w:b w:val="0"/>
          <w:bCs w:val="0"/>
          <w:i w:val="0"/>
          <w:iCs w:val="0"/>
        </w:rPr>
        <w:t xml:space="preserve">This file </w:t>
      </w:r>
      <w:r w:rsidRPr="66C8C8D7" w:rsidR="35240A73">
        <w:rPr>
          <w:rFonts w:ascii="Times New Roman" w:hAnsi="Times New Roman" w:eastAsia="Times New Roman" w:cs="Times New Roman"/>
          <w:b w:val="0"/>
          <w:bCs w:val="0"/>
          <w:i w:val="0"/>
          <w:iCs w:val="0"/>
        </w:rPr>
        <w:t>represents</w:t>
      </w:r>
      <w:r w:rsidRPr="66C8C8D7" w:rsidR="6DF8E2F5">
        <w:rPr>
          <w:rFonts w:ascii="Times New Roman" w:hAnsi="Times New Roman" w:eastAsia="Times New Roman" w:cs="Times New Roman"/>
          <w:b w:val="0"/>
          <w:bCs w:val="0"/>
          <w:i w:val="0"/>
          <w:iCs w:val="0"/>
        </w:rPr>
        <w:t xml:space="preserve"> </w:t>
      </w:r>
      <w:r w:rsidRPr="66C8C8D7" w:rsidR="35240A73">
        <w:rPr>
          <w:rFonts w:ascii="Times New Roman" w:hAnsi="Times New Roman" w:eastAsia="Times New Roman" w:cs="Times New Roman"/>
          <w:b w:val="0"/>
          <w:bCs w:val="0"/>
          <w:i w:val="0"/>
          <w:iCs w:val="0"/>
        </w:rPr>
        <w:t xml:space="preserve">a series of completed assignments from my coursework in Instructional Design, </w:t>
      </w:r>
      <w:r w:rsidRPr="66C8C8D7" w:rsidR="35240A73">
        <w:rPr>
          <w:rFonts w:ascii="Times New Roman" w:hAnsi="Times New Roman" w:eastAsia="Times New Roman" w:cs="Times New Roman"/>
          <w:b w:val="0"/>
          <w:bCs w:val="0"/>
          <w:i w:val="0"/>
          <w:iCs w:val="0"/>
        </w:rPr>
        <w:t>demonstrating</w:t>
      </w:r>
      <w:r w:rsidRPr="66C8C8D7" w:rsidR="35240A73">
        <w:rPr>
          <w:rFonts w:ascii="Times New Roman" w:hAnsi="Times New Roman" w:eastAsia="Times New Roman" w:cs="Times New Roman"/>
          <w:b w:val="0"/>
          <w:bCs w:val="0"/>
          <w:i w:val="0"/>
          <w:iCs w:val="0"/>
        </w:rPr>
        <w:t xml:space="preserve"> the application of learning theories</w:t>
      </w:r>
      <w:r w:rsidRPr="66C8C8D7" w:rsidR="005BC6AD">
        <w:rPr>
          <w:rFonts w:ascii="Times New Roman" w:hAnsi="Times New Roman" w:eastAsia="Times New Roman" w:cs="Times New Roman"/>
          <w:b w:val="0"/>
          <w:bCs w:val="0"/>
          <w:i w:val="0"/>
          <w:iCs w:val="0"/>
        </w:rPr>
        <w:t>, needs analysis, storyboarding, and assessment strategies. Each task reflects iterative feedback</w:t>
      </w:r>
      <w:r w:rsidRPr="66C8C8D7" w:rsidR="0CB16F51">
        <w:rPr>
          <w:rFonts w:ascii="Times New Roman" w:hAnsi="Times New Roman" w:eastAsia="Times New Roman" w:cs="Times New Roman"/>
          <w:b w:val="0"/>
          <w:bCs w:val="0"/>
          <w:i w:val="0"/>
          <w:iCs w:val="0"/>
        </w:rPr>
        <w:t xml:space="preserve">, critical reflection, and a commitment to creating engaging, learner-centered experiences. Together, they </w:t>
      </w:r>
      <w:r w:rsidRPr="66C8C8D7" w:rsidR="6ECDDC82">
        <w:rPr>
          <w:rFonts w:ascii="Times New Roman" w:hAnsi="Times New Roman" w:eastAsia="Times New Roman" w:cs="Times New Roman"/>
          <w:b w:val="0"/>
          <w:bCs w:val="0"/>
          <w:i w:val="0"/>
          <w:iCs w:val="0"/>
        </w:rPr>
        <w:t>illustrate my</w:t>
      </w:r>
      <w:r w:rsidRPr="66C8C8D7" w:rsidR="0CB16F51">
        <w:rPr>
          <w:rFonts w:ascii="Times New Roman" w:hAnsi="Times New Roman" w:eastAsia="Times New Roman" w:cs="Times New Roman"/>
          <w:b w:val="0"/>
          <w:bCs w:val="0"/>
          <w:i w:val="0"/>
          <w:iCs w:val="0"/>
        </w:rPr>
        <w:t xml:space="preserve"> evolving</w:t>
      </w:r>
      <w:r w:rsidRPr="66C8C8D7" w:rsidR="0F8F2070">
        <w:rPr>
          <w:rFonts w:ascii="Times New Roman" w:hAnsi="Times New Roman" w:eastAsia="Times New Roman" w:cs="Times New Roman"/>
          <w:b w:val="0"/>
          <w:bCs w:val="0"/>
          <w:i w:val="0"/>
          <w:iCs w:val="0"/>
        </w:rPr>
        <w:t xml:space="preserve"> ability to design effective and accessible instructional materials</w:t>
      </w:r>
      <w:r w:rsidRPr="66C8C8D7" w:rsidR="1D6D6477">
        <w:rPr>
          <w:rFonts w:ascii="Times New Roman" w:hAnsi="Times New Roman" w:eastAsia="Times New Roman" w:cs="Times New Roman"/>
          <w:b w:val="0"/>
          <w:bCs w:val="0"/>
          <w:i w:val="0"/>
          <w:iCs w:val="0"/>
        </w:rPr>
        <w:t xml:space="preserve">. At the heart of my approach is a simple belief: people learn best when </w:t>
      </w:r>
      <w:r w:rsidRPr="66C8C8D7" w:rsidR="1D6D6477">
        <w:rPr>
          <w:rFonts w:ascii="Times New Roman" w:hAnsi="Times New Roman" w:eastAsia="Times New Roman" w:cs="Times New Roman"/>
          <w:b w:val="0"/>
          <w:bCs w:val="0"/>
          <w:i w:val="0"/>
          <w:iCs w:val="0"/>
        </w:rPr>
        <w:t>they’re</w:t>
      </w:r>
      <w:r w:rsidRPr="66C8C8D7" w:rsidR="1D6D6477">
        <w:rPr>
          <w:rFonts w:ascii="Times New Roman" w:hAnsi="Times New Roman" w:eastAsia="Times New Roman" w:cs="Times New Roman"/>
          <w:b w:val="0"/>
          <w:bCs w:val="0"/>
          <w:i w:val="0"/>
          <w:iCs w:val="0"/>
        </w:rPr>
        <w:t xml:space="preserve"> active, curious, and supported</w:t>
      </w:r>
      <w:r w:rsidRPr="66C8C8D7" w:rsidR="66878A3B">
        <w:rPr>
          <w:rFonts w:ascii="Times New Roman" w:hAnsi="Times New Roman" w:eastAsia="Times New Roman" w:cs="Times New Roman"/>
          <w:b w:val="0"/>
          <w:bCs w:val="0"/>
          <w:i w:val="0"/>
          <w:iCs w:val="0"/>
        </w:rPr>
        <w:t>.</w:t>
      </w:r>
    </w:p>
    <w:p w:rsidR="36A9A145" w:rsidP="66C8C8D7" w:rsidRDefault="36A9A145" w14:paraId="6809FA82" w14:textId="57A421E0">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r w:rsidRPr="66C8C8D7" w:rsidR="36A9A145">
        <w:rPr>
          <w:rFonts w:ascii="Times New Roman" w:hAnsi="Times New Roman" w:eastAsia="Times New Roman" w:cs="Times New Roman"/>
          <w:b w:val="0"/>
          <w:bCs w:val="0"/>
          <w:i w:val="0"/>
          <w:iCs w:val="0"/>
        </w:rPr>
        <w:t xml:space="preserve">Hope </w:t>
      </w:r>
      <w:r w:rsidRPr="66C8C8D7" w:rsidR="52325A1D">
        <w:rPr>
          <w:rFonts w:ascii="Times New Roman" w:hAnsi="Times New Roman" w:eastAsia="Times New Roman" w:cs="Times New Roman"/>
          <w:b w:val="0"/>
          <w:bCs w:val="0"/>
          <w:i w:val="0"/>
          <w:iCs w:val="0"/>
        </w:rPr>
        <w:t>you find the information in th</w:t>
      </w:r>
      <w:r w:rsidRPr="66C8C8D7" w:rsidR="5E0000F0">
        <w:rPr>
          <w:rFonts w:ascii="Times New Roman" w:hAnsi="Times New Roman" w:eastAsia="Times New Roman" w:cs="Times New Roman"/>
          <w:b w:val="0"/>
          <w:bCs w:val="0"/>
          <w:i w:val="0"/>
          <w:iCs w:val="0"/>
        </w:rPr>
        <w:t>e files</w:t>
      </w:r>
      <w:r w:rsidRPr="66C8C8D7" w:rsidR="52325A1D">
        <w:rPr>
          <w:rFonts w:ascii="Times New Roman" w:hAnsi="Times New Roman" w:eastAsia="Times New Roman" w:cs="Times New Roman"/>
          <w:b w:val="0"/>
          <w:bCs w:val="0"/>
          <w:i w:val="0"/>
          <w:iCs w:val="0"/>
        </w:rPr>
        <w:t xml:space="preserve"> helpful as you browse through</w:t>
      </w:r>
      <w:r w:rsidRPr="66C8C8D7" w:rsidR="23D1A943">
        <w:rPr>
          <w:rFonts w:ascii="Times New Roman" w:hAnsi="Times New Roman" w:eastAsia="Times New Roman" w:cs="Times New Roman"/>
          <w:b w:val="0"/>
          <w:bCs w:val="0"/>
          <w:i w:val="0"/>
          <w:iCs w:val="0"/>
        </w:rPr>
        <w:t>.</w:t>
      </w:r>
      <w:r w:rsidRPr="66C8C8D7" w:rsidR="23D1A943">
        <w:rPr>
          <w:rFonts w:ascii="Times New Roman" w:hAnsi="Times New Roman" w:eastAsia="Times New Roman" w:cs="Times New Roman"/>
          <w:b w:val="0"/>
          <w:bCs w:val="0"/>
          <w:i w:val="0"/>
          <w:iCs w:val="0"/>
        </w:rPr>
        <w:t xml:space="preserve"> </w:t>
      </w:r>
      <w:r w:rsidRPr="66C8C8D7" w:rsidR="383FFE9D">
        <w:rPr>
          <w:rFonts w:ascii="Times New Roman" w:hAnsi="Times New Roman" w:eastAsia="Times New Roman" w:cs="Times New Roman"/>
          <w:b w:val="0"/>
          <w:bCs w:val="0"/>
          <w:i w:val="0"/>
          <w:iCs w:val="0"/>
        </w:rPr>
        <w:t>This is my progress. My process. And my passion, one lesson at a time</w:t>
      </w:r>
      <w:r w:rsidRPr="66C8C8D7" w:rsidR="37DDE747">
        <w:rPr>
          <w:rFonts w:ascii="Times New Roman" w:hAnsi="Times New Roman" w:eastAsia="Times New Roman" w:cs="Times New Roman"/>
          <w:b w:val="0"/>
          <w:bCs w:val="0"/>
          <w:i w:val="0"/>
          <w:iCs w:val="0"/>
        </w:rPr>
        <w:t>.</w:t>
      </w:r>
    </w:p>
    <w:p w:rsidR="66C8C8D7" w:rsidP="66C8C8D7" w:rsidRDefault="66C8C8D7" w14:paraId="4C350F6D" w14:textId="51DADEA5">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37DDE747" w:rsidP="66C8C8D7" w:rsidRDefault="37DDE747" w14:paraId="3771AB71" w14:textId="3FC4E400">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1"/>
          <w:iCs w:val="1"/>
        </w:rPr>
      </w:pPr>
      <w:r w:rsidRPr="66C8C8D7" w:rsidR="37DDE747">
        <w:rPr>
          <w:rFonts w:ascii="Times New Roman" w:hAnsi="Times New Roman" w:eastAsia="Times New Roman" w:cs="Times New Roman"/>
          <w:b w:val="0"/>
          <w:bCs w:val="0"/>
          <w:i w:val="1"/>
          <w:iCs w:val="1"/>
        </w:rPr>
        <w:t xml:space="preserve">~ Chika </w:t>
      </w:r>
      <w:r w:rsidRPr="66C8C8D7" w:rsidR="37DDE747">
        <w:rPr>
          <w:rFonts w:ascii="Times New Roman" w:hAnsi="Times New Roman" w:eastAsia="Times New Roman" w:cs="Times New Roman"/>
          <w:b w:val="0"/>
          <w:bCs w:val="0"/>
          <w:i w:val="1"/>
          <w:iCs w:val="1"/>
        </w:rPr>
        <w:t>Duruaku</w:t>
      </w:r>
    </w:p>
    <w:p w:rsidR="66C8C8D7" w:rsidP="66C8C8D7" w:rsidRDefault="66C8C8D7" w14:paraId="462CC08E" w14:textId="6716CAED">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1"/>
          <w:iCs w:val="1"/>
        </w:rPr>
      </w:pPr>
    </w:p>
    <w:p w:rsidR="66C8C8D7" w:rsidP="66C8C8D7" w:rsidRDefault="66C8C8D7" w14:paraId="157113E1" w14:textId="50E452AA">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1"/>
          <w:iCs w:val="1"/>
        </w:rPr>
      </w:pPr>
    </w:p>
    <w:p w:rsidR="66C8C8D7" w:rsidP="66C8C8D7" w:rsidRDefault="66C8C8D7" w14:paraId="22F4C12C" w14:textId="144690B9">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1"/>
          <w:iCs w:val="1"/>
        </w:rPr>
      </w:pPr>
    </w:p>
    <w:p w:rsidR="66C8C8D7" w:rsidP="66C8C8D7" w:rsidRDefault="66C8C8D7" w14:paraId="6A836990" w14:textId="5B4AD4D8">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1"/>
          <w:iCs w:val="1"/>
        </w:rPr>
      </w:pPr>
    </w:p>
    <w:p w:rsidR="66C8C8D7" w:rsidP="66C8C8D7" w:rsidRDefault="66C8C8D7" w14:paraId="79E37382" w14:textId="4632DB48">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1"/>
          <w:iCs w:val="1"/>
        </w:rPr>
      </w:pPr>
    </w:p>
    <w:p w:rsidR="66C8C8D7" w:rsidP="66C8C8D7" w:rsidRDefault="66C8C8D7" w14:paraId="4C00021D" w14:textId="4839E5DC">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1"/>
          <w:iCs w:val="1"/>
        </w:rPr>
      </w:pPr>
    </w:p>
    <w:p w:rsidR="66C8C8D7" w:rsidP="66C8C8D7" w:rsidRDefault="66C8C8D7" w14:paraId="42E71380" w14:textId="594323C1">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1"/>
          <w:iCs w:val="1"/>
        </w:rPr>
      </w:pPr>
    </w:p>
    <w:p w:rsidR="66C8C8D7" w:rsidP="66C8C8D7" w:rsidRDefault="66C8C8D7" w14:paraId="4D1946F1" w14:textId="3708A124">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590809F4" w:rsidP="66C8C8D7" w:rsidRDefault="590809F4" w14:paraId="5BECECB9" w14:textId="5FAFF705">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 Historical Timeline of ID and Future Expectations</w:t>
      </w:r>
    </w:p>
    <w:p w:rsidR="66C8C8D7" w:rsidP="66C8C8D7" w:rsidRDefault="66C8C8D7" w14:paraId="0C5E2191" w14:textId="2CB138C2">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590809F4" w:rsidP="66C8C8D7" w:rsidRDefault="590809F4" w14:paraId="58659B37" w14:textId="32F1F0D2">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Chikodinaka T. Duruaku</w:t>
      </w:r>
    </w:p>
    <w:p w:rsidR="590809F4" w:rsidP="66C8C8D7" w:rsidRDefault="590809F4" w14:paraId="4AD4ED36" w14:textId="4D3B5F95">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Sanford College of Education</w:t>
      </w:r>
    </w:p>
    <w:p w:rsidR="590809F4" w:rsidP="66C8C8D7" w:rsidRDefault="590809F4" w14:paraId="0985BBE3" w14:textId="3EE94F9F">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ID 8900 v1: Foundations of Instructional Design</w:t>
      </w:r>
    </w:p>
    <w:p w:rsidR="590809F4" w:rsidP="66C8C8D7" w:rsidRDefault="590809F4" w14:paraId="0565C613" w14:textId="0EED6D3E">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Dr.  Jennifer Summerville</w:t>
      </w:r>
    </w:p>
    <w:p w:rsidR="590809F4" w:rsidP="66C8C8D7" w:rsidRDefault="590809F4" w14:paraId="06C59967" w14:textId="51025898">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February 7, 2026</w:t>
      </w:r>
    </w:p>
    <w:p w:rsidR="66C8C8D7" w:rsidP="66C8C8D7" w:rsidRDefault="66C8C8D7" w14:paraId="0AB97AD7" w14:textId="0D3FF313">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6C5D0F9F" w14:textId="0F5AB35C">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6E41B284" w14:textId="485565EA">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1E3E719A" w14:textId="734F6DDB">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678D3F1D" w14:textId="45AF2735">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2C921E2B" w14:textId="41CA2A78">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63A6893C" w14:textId="444D5682">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2768D916" w14:textId="26007057">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43A39392" w14:textId="0F3285B8">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56648A8D" w14:textId="3939B86D">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0A49D1E6" w14:textId="7B439929">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07260FC4" w14:textId="0F38C54D">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30DA928A" w14:textId="65CFC8E6">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40BD5354" w14:textId="7B657EE4">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6125AA80" w14:textId="2FC00A3D">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1CB625BB" w14:textId="499ECE67">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2B2D987D" w14:textId="625F3EB0">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70F18509" w14:textId="5C07786F">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590809F4" w:rsidP="66C8C8D7" w:rsidRDefault="590809F4" w14:paraId="06EAA9CD" w14:textId="3DF9905F">
      <w:pPr>
        <w:bidi w:val="0"/>
        <w:spacing w:line="480" w:lineRule="auto"/>
        <w:contextualSpacing w:val="1"/>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 Historical Timeline of Instructional Design</w:t>
      </w:r>
    </w:p>
    <w:p w:rsidR="590809F4" w:rsidP="66C8C8D7" w:rsidRDefault="590809F4" w14:paraId="788BDDC4" w14:textId="1B00BCE3">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Brown and Green (2019)  highlight that for over a century, scholars have employed a logical approach to developing and evaluating instruction and materials. Comenius (1592-1671) is a notable figure for incorporating visual aids in teaching, with his book The Visible World Pictured recognized as the first illustrated textbook for instructional use (Brown &amp; Green, 2019a).</w:t>
      </w:r>
    </w:p>
    <w:p w:rsidR="590809F4" w:rsidP="66C8C8D7" w:rsidRDefault="590809F4" w14:paraId="179115A7" w14:textId="44A3B653">
      <w:pPr>
        <w:bidi w:val="0"/>
        <w:spacing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Instructional design is described by Pembrook (2001, as cited in </w:t>
      </w:r>
      <w:r w:rsidRPr="66C8C8D7" w:rsidR="590809F4">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Şekercioglu, 2025)</w:t>
      </w:r>
      <w:r w:rsidRPr="66C8C8D7" w:rsidR="590809F4">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66C8C8D7" w:rsidR="590809F4">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24"/>
          <w:szCs w:val="24"/>
          <w:u w:val="none"/>
          <w:lang w:val="en-US"/>
        </w:rPr>
        <w:t xml:space="preserve"> </w:t>
      </w: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as a systematic process for analyzing, organizing, developing, implementing, and evaluating instructional solutions. Smith and Ragan (2005, as cited in</w:t>
      </w:r>
      <w:r w:rsidRPr="66C8C8D7" w:rsidR="590809F4">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24"/>
          <w:szCs w:val="24"/>
          <w:u w:val="none"/>
          <w:lang w:val="en-US"/>
        </w:rPr>
        <w:t xml:space="preserve"> </w:t>
      </w:r>
      <w:r w:rsidRPr="66C8C8D7" w:rsidR="590809F4">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Brown &amp; Green, 2019b)</w:t>
      </w:r>
      <w:r w:rsidRPr="66C8C8D7" w:rsidR="590809F4">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view it as a reflective process that translates learning principles into instructional plans. This approach aims to tailor instruction to learners’ needs and is grounded in educational psychology and pedagogical principles, applicable in both K-12 and higher education according to </w:t>
      </w:r>
      <w:r w:rsidRPr="66C8C8D7" w:rsidR="590809F4">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Şekercioglu (2025)</w:t>
      </w:r>
      <w:r w:rsidRPr="66C8C8D7" w:rsidR="590809F4">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w:rsidR="590809F4" w:rsidP="66C8C8D7" w:rsidRDefault="590809F4" w14:paraId="12D22DA9" w14:textId="32A09149">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Brown and Green (2019a) emphasize the crucial roles of behaviorism and cognitivism in shaping our understanding of learning and their significant impact on instructional design. In the early 20th century, behaviorism dominated this field, focusing on how external stimuli drive observable behavioral changes. Central to behaviorism are the classical and operant conditioning models. Pavlov's classical conditioning illustrates associative learning, where an unconditioned stimulus naturally elicits a response, and a second stimulus eventually triggers a similar response through its association. Skinner’s operant conditioning, on the other hand, explains how voluntary behaviors are shaped by the consequences they produce. When a response is followed by a reinforcing stimulus, it encourages the repetition of that behavior. Together, these concepts provide valuable insights for developing effective instructional strategies that engage and motivate learners.</w:t>
      </w:r>
    </w:p>
    <w:p w:rsidR="590809F4" w:rsidP="66C8C8D7" w:rsidRDefault="590809F4" w14:paraId="07EA8F8C" w14:textId="057CB074">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World War II brought about a significant demand for effective instructional methods, leading to the prominence of educational films. During this time, slides, audio cassettes, newspapers, and radio broadcasts became widely utilized (Şekercioglu, 2025). Various instructional strategies aimed at improving educational efficiency were tested on military personnel. Influential theories, such as B.F. Skinner’s principles of behaviorism, began to shape instructional design practices during this era. Skinner’s research paved the way for Keller’s personalized system of instruction, Bloom’s mastery learning theory, and Postlethwait’s audio-tutorial approaches, all of which emphasized the importance of flexible learning strategies that cater to individual differences.</w:t>
      </w:r>
    </w:p>
    <w:p w:rsidR="590809F4" w:rsidP="66C8C8D7" w:rsidRDefault="590809F4" w14:paraId="4A35AA42" w14:textId="63B08B27">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Andrew and Goodson (1980, as cited in  Sciences, 2025)  mention that in1962, Mager published his process for writing instructional objectives, and Gagne published the conditions of learning  (Bradshaw, 2018) . The efforts to systematize instruction began in the 1970’s, with models such as Gagne and Briggs(1974), Kemp (1971), Dick and Carey (1978)</w:t>
      </w:r>
    </w:p>
    <w:p w:rsidR="590809F4" w:rsidP="66C8C8D7" w:rsidRDefault="590809F4" w14:paraId="2E619D7F" w14:textId="6D0E955C">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expansion of instructional design into various fields began in the 1980s, coinciding with the emergence of interactive videos and a growing interest in computers (Şekercioglu, 2025). The previously dominant behaviorist approaches were gradually replaced by cognitive psychology-based learning methods, which later transitioned to constructivist approaches. The increased accessibility of the internet in the early 1990s also brought about significant transformations in education.</w:t>
      </w:r>
    </w:p>
    <w:p w:rsidR="590809F4" w:rsidP="66C8C8D7" w:rsidRDefault="590809F4" w14:paraId="5898ECDD" w14:textId="36C07253">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In the early 2000s, e-learning and distance education gained popularity. Learning Management Systems (LMS) were introduced, allowing teachers and students to access instructional materials online and engage in interactive lessons (Bates, 2005, as cited in Şekercioglu, 2025). Starting in the 2010s, the widespread use of portable devices spurred the trend toward mobile learning, leading to an increase in digital content and online instructional applications. Finally, with the advent of artificial intelligence in the 2020s, personalized learning systems began to offer content tailored to individual student learning preferences and instructional goals (Holmes et al., 2021, as cited in Şekercioglu, 2025).</w:t>
      </w:r>
    </w:p>
    <w:p w:rsidR="66C8C8D7" w:rsidP="66C8C8D7" w:rsidRDefault="66C8C8D7" w14:paraId="411CCE95" w14:textId="71259230">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7DE219A7" w14:textId="2BE0798D">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065C8E7C" w14:textId="4E5E44CB">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2E5737EB" w14:textId="5CBEDC12">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11BCCE83" w14:textId="5B820FAE">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16DC38A5" w14:textId="17D6122B">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3DCCCE7E" w14:textId="2BC49626">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75D7AC40" w14:textId="4425773B">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2630AD06" w14:textId="17ECEA49">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05C2459A" w14:textId="4820F6E8">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09CC43DC" w14:textId="6DFF5DF5">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2F1DF119" w14:textId="7CD163AD">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66B79D0D" w14:textId="41BDE8BD">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4DB254E1" w14:textId="69FDB4BD">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4BC587E8" w14:textId="5721C317">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5673786D" w14:textId="53A9057B">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2B347971" w14:textId="2B301869">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76D64339" w14:textId="453A3984">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420FE54F" w14:textId="7898DEB1">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47BF8F7E" w14:textId="0ABA1273">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590809F4" w:rsidP="66C8C8D7" w:rsidRDefault="590809F4" w14:paraId="5F7D879A" w14:textId="79C07C9E">
      <w:pPr>
        <w:bidi w:val="0"/>
        <w:spacing w:line="480" w:lineRule="auto"/>
        <w:contextualSpacing w:val="1"/>
        <w:rPr>
          <w:rFonts w:ascii="Aptos" w:hAnsi="Aptos" w:eastAsia="Aptos" w:cs="Aptos"/>
          <w:b w:val="0"/>
          <w:bCs w:val="0"/>
          <w:i w:val="0"/>
          <w:iCs w:val="0"/>
          <w:caps w:val="0"/>
          <w:smallCaps w:val="0"/>
          <w:noProof w:val="0"/>
          <w:color w:val="000000" w:themeColor="text1" w:themeTint="FF" w:themeShade="FF"/>
          <w:sz w:val="24"/>
          <w:szCs w:val="24"/>
          <w:lang w:val="en-US"/>
        </w:rPr>
      </w:pPr>
      <w:r w:rsidR="590809F4">
        <w:drawing>
          <wp:inline wp14:editId="1717A1E1" wp14:anchorId="618ACDA0">
            <wp:extent cx="5295900" cy="5372100"/>
            <wp:effectExtent l="0" t="0" r="0" b="0"/>
            <wp:docPr id="195039941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50399417" name="Picture 1950399417"/>
                    <pic:cNvPicPr/>
                  </pic:nvPicPr>
                  <pic:blipFill>
                    <a:blip xmlns:r="http://schemas.openxmlformats.org/officeDocument/2006/relationships" r:embed="rId161351685">
                      <a:extLst>
                        <a:ext uri="{28A0092B-C50C-407E-A947-70E740481C1C}">
                          <a14:useLocalDpi xmlns:a14="http://schemas.microsoft.com/office/drawing/2010/main"/>
                        </a:ext>
                      </a:extLst>
                    </a:blip>
                    <a:stretch>
                      <a:fillRect/>
                    </a:stretch>
                  </pic:blipFill>
                  <pic:spPr>
                    <a:xfrm>
                      <a:off x="0" y="0"/>
                      <a:ext cx="5295900" cy="5372100"/>
                    </a:xfrm>
                    <a:prstGeom prst="rect">
                      <a:avLst/>
                    </a:prstGeom>
                  </pic:spPr>
                </pic:pic>
              </a:graphicData>
            </a:graphic>
          </wp:inline>
        </w:drawing>
      </w:r>
    </w:p>
    <w:p w:rsidR="66C8C8D7" w:rsidP="66C8C8D7" w:rsidRDefault="66C8C8D7" w14:paraId="020E7962" w14:textId="585CF16E">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1BFB7165" w14:textId="1606F727">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1BDBD82C" w14:textId="7485D1E6">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14AF5D5B" w14:textId="5FCC009E">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29891827" w14:textId="00442397">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12C23069" w14:textId="47E87E0A">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590809F4" w:rsidP="66C8C8D7" w:rsidRDefault="590809F4" w14:paraId="22844EE6" w14:textId="54D2A13C">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24"/>
          <w:szCs w:val="24"/>
          <w:u w:val="none"/>
          <w:lang w:val="en-US"/>
        </w:rPr>
        <w:t>Future Expectations</w:t>
      </w:r>
    </w:p>
    <w:p w:rsidR="590809F4" w:rsidP="66C8C8D7" w:rsidRDefault="590809F4" w14:paraId="1FDDC6F2" w14:textId="71227E59">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In the future, instructional design will be highly personalized and adaptive, utilizing artificial intelligence to customize learning experiences based on each individual's unique needs, preferences, and learning styles. This shift will be driven by the necessity to prepare learners for a constantly evolving job market and to promote lifelong learning habits in a world where skills and knowledge rapidly become outdated. Consequently, instructional designers will need to focus on developing flexible, modular learning content that can be easily tailored and updated. Additionally, they should consider creating systems that can capture and analyze learner data to continuously enhance the learning experience.</w:t>
      </w:r>
    </w:p>
    <w:p w:rsidR="590809F4" w:rsidP="66C8C8D7" w:rsidRDefault="590809F4" w14:paraId="5D7CCE3E" w14:textId="669E838D">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This vision revolves around the idea that technology, particularly artificial intelligence (AI), will play an increasingly important role in education. As a result, instructional design will need to adapt to leverage these new tools.  Mncube (2025)   states that AI applications create interactive environments that enhance personalized learning, classroom monitoring, and decision-making. Similarly,  Bhatt et al. (2024)  explain that adaptive knowledge technologies grounded in AI boost student engagement. The interactive nature of these tools enables more hands-on learning experiences, which can be especially beneficial for students who struggle with traditional instructional methods.</w:t>
      </w:r>
    </w:p>
    <w:p w:rsidR="66C8C8D7" w:rsidP="66C8C8D7" w:rsidRDefault="66C8C8D7" w14:paraId="33A357D9" w14:textId="73F11F0F">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3C0EE7CA" w14:textId="4A86B8EB">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14C2E256" w14:textId="6E9BBA6F">
      <w:pPr>
        <w:bidi w:val="0"/>
        <w:spacing w:line="480" w:lineRule="auto"/>
        <w:contextualSpacing w:val="1"/>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50891850" w14:textId="38D623D6">
      <w:pPr>
        <w:bidi w:val="0"/>
        <w:spacing w:line="480" w:lineRule="auto"/>
        <w:contextualSpacing w:val="1"/>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6EEBF8A2" w14:textId="69307513">
      <w:pPr>
        <w:bidi w:val="0"/>
        <w:spacing w:line="480" w:lineRule="auto"/>
        <w:contextualSpacing w:val="1"/>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4D59DD4F" w14:textId="33331115">
      <w:pPr>
        <w:bidi w:val="0"/>
        <w:spacing w:line="480" w:lineRule="auto"/>
        <w:contextualSpacing w:val="1"/>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4962F6A4" w14:textId="3B622FED">
      <w:pPr>
        <w:bidi w:val="0"/>
        <w:spacing w:line="480" w:lineRule="auto"/>
        <w:contextualSpacing w:val="1"/>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590809F4" w:rsidP="66C8C8D7" w:rsidRDefault="590809F4" w14:paraId="64CBC094" w14:textId="1CF5EECB">
      <w:pPr>
        <w:bidi w:val="0"/>
        <w:spacing w:line="480" w:lineRule="auto"/>
        <w:contextualSpacing w:val="1"/>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References</w:t>
      </w:r>
    </w:p>
    <w:p w:rsidR="590809F4" w:rsidP="66C8C8D7" w:rsidRDefault="590809F4" w14:paraId="1B80AB00" w14:textId="3C3E5B4A">
      <w:pPr>
        <w:bidi w:val="0"/>
        <w:spacing w:before="0" w:beforeAutospacing="off" w:after="0" w:afterAutospacing="off"/>
        <w:ind w:left="480" w:right="0" w:hanging="48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Bhatt, V., Gupta, D. B., &amp; Chandra, G. (2024). Optimizing Classroom Teaching with AI-Based Adaptive Learning Tools. </w:t>
      </w:r>
      <w:r w:rsidRPr="66C8C8D7" w:rsidR="590809F4">
        <w:rPr>
          <w:rFonts w:ascii="Times New Roman" w:hAnsi="Times New Roman" w:eastAsia="Times New Roman" w:cs="Times New Roman"/>
          <w:b w:val="0"/>
          <w:bCs w:val="0"/>
          <w:i w:val="1"/>
          <w:iCs w:val="1"/>
          <w:caps w:val="0"/>
          <w:smallCaps w:val="0"/>
          <w:strike w:val="0"/>
          <w:dstrike w:val="0"/>
          <w:noProof w:val="0"/>
          <w:color w:val="000000" w:themeColor="text1" w:themeTint="FF" w:themeShade="FF"/>
          <w:sz w:val="24"/>
          <w:szCs w:val="24"/>
          <w:u w:val="none"/>
          <w:lang w:val="en-US"/>
        </w:rPr>
        <w:t>2024 International Conference on Advances in Computing Research on Science Engineering and Technology, ACROSET 2024</w:t>
      </w: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w:t>
      </w:r>
      <w:hyperlink r:id="Rf25c2b78517d4cc3">
        <w:r w:rsidRPr="66C8C8D7" w:rsidR="590809F4">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https://doi.org/10.1109/ACROSET62108.2024.10743688</w:t>
        </w:r>
      </w:hyperlink>
    </w:p>
    <w:p w:rsidR="590809F4" w:rsidP="66C8C8D7" w:rsidRDefault="590809F4" w14:paraId="1FCC3647" w14:textId="11FFECD4">
      <w:pPr>
        <w:bidi w:val="0"/>
        <w:spacing w:before="0" w:beforeAutospacing="off" w:after="0" w:afterAutospacing="off"/>
        <w:ind w:left="480" w:right="0" w:hanging="48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Bradshaw, A. (2018). </w:t>
      </w:r>
      <w:r w:rsidRPr="66C8C8D7" w:rsidR="590809F4">
        <w:rPr>
          <w:rFonts w:ascii="Times New Roman" w:hAnsi="Times New Roman" w:eastAsia="Times New Roman" w:cs="Times New Roman"/>
          <w:b w:val="0"/>
          <w:bCs w:val="0"/>
          <w:i w:val="1"/>
          <w:iCs w:val="1"/>
          <w:caps w:val="0"/>
          <w:smallCaps w:val="0"/>
          <w:strike w:val="0"/>
          <w:dstrike w:val="0"/>
          <w:noProof w:val="0"/>
          <w:color w:val="000000" w:themeColor="text1" w:themeTint="FF" w:themeShade="FF"/>
          <w:sz w:val="24"/>
          <w:szCs w:val="24"/>
          <w:u w:val="none"/>
          <w:lang w:val="en-US"/>
        </w:rPr>
        <w:t>Reconsidering the Instructional Design and Technology Timeline through a Lens of Social Justice - EBSCO</w:t>
      </w: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w:t>
      </w:r>
      <w:r w:rsidRPr="66C8C8D7" w:rsidR="590809F4">
        <w:rPr>
          <w:rFonts w:ascii="Times New Roman" w:hAnsi="Times New Roman" w:eastAsia="Times New Roman" w:cs="Times New Roman"/>
          <w:b w:val="0"/>
          <w:bCs w:val="0"/>
          <w:i w:val="1"/>
          <w:iCs w:val="1"/>
          <w:caps w:val="0"/>
          <w:smallCaps w:val="0"/>
          <w:strike w:val="0"/>
          <w:dstrike w:val="0"/>
          <w:noProof w:val="0"/>
          <w:color w:val="000000" w:themeColor="text1" w:themeTint="FF" w:themeShade="FF"/>
          <w:sz w:val="24"/>
          <w:szCs w:val="24"/>
          <w:u w:val="none"/>
          <w:lang w:val="en-US"/>
        </w:rPr>
        <w:t>62</w:t>
      </w: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336–344.</w:t>
      </w:r>
    </w:p>
    <w:p w:rsidR="590809F4" w:rsidP="66C8C8D7" w:rsidRDefault="590809F4" w14:paraId="3DBE561D" w14:textId="18F65C32">
      <w:pPr>
        <w:bidi w:val="0"/>
        <w:spacing w:before="0" w:beforeAutospacing="off" w:after="0" w:afterAutospacing="off"/>
        <w:ind w:left="480" w:right="0" w:hanging="48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Brown, A. H., &amp; Green, T. D. (2019a). </w:t>
      </w:r>
      <w:r w:rsidRPr="66C8C8D7" w:rsidR="590809F4">
        <w:rPr>
          <w:rFonts w:ascii="Times New Roman" w:hAnsi="Times New Roman" w:eastAsia="Times New Roman" w:cs="Times New Roman"/>
          <w:b w:val="0"/>
          <w:bCs w:val="0"/>
          <w:i w:val="1"/>
          <w:iCs w:val="1"/>
          <w:caps w:val="0"/>
          <w:smallCaps w:val="0"/>
          <w:strike w:val="0"/>
          <w:dstrike w:val="0"/>
          <w:noProof w:val="0"/>
          <w:color w:val="000000" w:themeColor="text1" w:themeTint="FF" w:themeShade="FF"/>
          <w:sz w:val="24"/>
          <w:szCs w:val="24"/>
          <w:u w:val="none"/>
          <w:lang w:val="en-US"/>
        </w:rPr>
        <w:t>Understanding How People Think and Learn Guiding Questions Why is it important for instructional designers to understand how people think? How have historical and current perspectives on thinking and the thinking process in instructional design been influenced by philosophy and educational psychology?</w:t>
      </w: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w:t>
      </w:r>
      <w:hyperlink r:id="R3009ba20adf44f6e">
        <w:r w:rsidRPr="66C8C8D7" w:rsidR="590809F4">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http://ebookcentral.proquest.com/lib/nu/detail.action?docID=5894056</w:t>
        </w:r>
      </w:hyperlink>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w:t>
      </w:r>
    </w:p>
    <w:p w:rsidR="590809F4" w:rsidP="66C8C8D7" w:rsidRDefault="590809F4" w14:paraId="313F946E" w14:textId="414C271F">
      <w:pPr>
        <w:bidi w:val="0"/>
        <w:spacing w:before="0" w:beforeAutospacing="off" w:after="0" w:afterAutospacing="off"/>
        <w:ind w:left="480" w:right="0" w:hanging="48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Brown, A. H., &amp; Green, T. D. (2019b). </w:t>
      </w:r>
      <w:r w:rsidRPr="66C8C8D7" w:rsidR="590809F4">
        <w:rPr>
          <w:rFonts w:ascii="Times New Roman" w:hAnsi="Times New Roman" w:eastAsia="Times New Roman" w:cs="Times New Roman"/>
          <w:b w:val="0"/>
          <w:bCs w:val="0"/>
          <w:i w:val="1"/>
          <w:iCs w:val="1"/>
          <w:caps w:val="0"/>
          <w:smallCaps w:val="0"/>
          <w:strike w:val="0"/>
          <w:dstrike w:val="0"/>
          <w:noProof w:val="0"/>
          <w:color w:val="000000" w:themeColor="text1" w:themeTint="FF" w:themeShade="FF"/>
          <w:sz w:val="24"/>
          <w:szCs w:val="24"/>
          <w:u w:val="none"/>
          <w:lang w:val="en-US"/>
        </w:rPr>
        <w:t>Understanding How People Think and Learn Guiding Questions Why is it important for instructional designers to understand how people think? How have historical and current perspectives on thinking and the thinking process in instructional design been influenced by philosophy and educational psychology?</w:t>
      </w: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w:t>
      </w:r>
      <w:hyperlink r:id="Rae1d1c5d2700486c">
        <w:r w:rsidRPr="66C8C8D7" w:rsidR="590809F4">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http://ebookcentral.proquest.com/lib/nu/detail.action?docID=5894056</w:t>
        </w:r>
      </w:hyperlink>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w:t>
      </w:r>
    </w:p>
    <w:p w:rsidR="590809F4" w:rsidP="66C8C8D7" w:rsidRDefault="590809F4" w14:paraId="37DCCBA6" w14:textId="4AD3FDFE">
      <w:pPr>
        <w:bidi w:val="0"/>
        <w:spacing w:before="0" w:beforeAutospacing="off" w:after="0" w:afterAutospacing="off"/>
        <w:ind w:left="480" w:right="0" w:hanging="48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Mncube, S. (2025). Appropriation of Artificial Intelligence in an e-Learning Institution to Enhance Teaching and Learning. </w:t>
      </w:r>
      <w:r w:rsidRPr="66C8C8D7" w:rsidR="590809F4">
        <w:rPr>
          <w:rFonts w:ascii="Times New Roman" w:hAnsi="Times New Roman" w:eastAsia="Times New Roman" w:cs="Times New Roman"/>
          <w:b w:val="0"/>
          <w:bCs w:val="0"/>
          <w:i w:val="1"/>
          <w:iCs w:val="1"/>
          <w:caps w:val="0"/>
          <w:smallCaps w:val="0"/>
          <w:strike w:val="0"/>
          <w:dstrike w:val="0"/>
          <w:noProof w:val="0"/>
          <w:color w:val="000000" w:themeColor="text1" w:themeTint="FF" w:themeShade="FF"/>
          <w:sz w:val="24"/>
          <w:szCs w:val="24"/>
          <w:u w:val="none"/>
          <w:lang w:val="en-US"/>
        </w:rPr>
        <w:t>2025 Annual IEEE Conference on Information Communication Technology and Society, ICTAS 2025 - Proceedings</w:t>
      </w: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w:t>
      </w:r>
      <w:hyperlink r:id="Rb99372e218fe4d15">
        <w:r w:rsidRPr="66C8C8D7" w:rsidR="590809F4">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https://doi.org/10.1109/ICTAS64866.2025.11155607</w:t>
        </w:r>
      </w:hyperlink>
    </w:p>
    <w:p w:rsidR="590809F4" w:rsidP="66C8C8D7" w:rsidRDefault="590809F4" w14:paraId="41CF6B0D" w14:textId="0CD7C7BA">
      <w:pPr>
        <w:bidi w:val="0"/>
        <w:spacing w:before="0" w:beforeAutospacing="off" w:after="0" w:afterAutospacing="off"/>
        <w:ind w:left="480" w:right="0" w:hanging="48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Şekercioglu, A. (2025). </w:t>
      </w:r>
      <w:r w:rsidRPr="66C8C8D7" w:rsidR="590809F4">
        <w:rPr>
          <w:rFonts w:ascii="Times New Roman" w:hAnsi="Times New Roman" w:eastAsia="Times New Roman" w:cs="Times New Roman"/>
          <w:b w:val="0"/>
          <w:bCs w:val="0"/>
          <w:i w:val="1"/>
          <w:iCs w:val="1"/>
          <w:caps w:val="0"/>
          <w:smallCaps w:val="0"/>
          <w:strike w:val="0"/>
          <w:dstrike w:val="0"/>
          <w:noProof w:val="0"/>
          <w:color w:val="000000" w:themeColor="text1" w:themeTint="FF" w:themeShade="FF"/>
          <w:sz w:val="24"/>
          <w:szCs w:val="24"/>
          <w:u w:val="none"/>
          <w:lang w:val="en-US"/>
        </w:rPr>
        <w:t>Modern Research and Studies in Educational Sciences II</w:t>
      </w: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w:t>
      </w:r>
      <w:hyperlink r:id="R8c56819fa450439f">
        <w:r w:rsidRPr="66C8C8D7" w:rsidR="590809F4">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https://doi.org/10.5281/zenodo.15041572</w:t>
        </w:r>
      </w:hyperlink>
    </w:p>
    <w:p w:rsidR="590809F4" w:rsidP="66C8C8D7" w:rsidRDefault="590809F4" w14:paraId="5D22BDDF" w14:textId="0DE132D9">
      <w:pPr>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90809F4">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w:t>
      </w:r>
      <w:r w:rsidRPr="66C8C8D7" w:rsidR="590809F4">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w:rsidR="66C8C8D7" w:rsidP="66C8C8D7" w:rsidRDefault="66C8C8D7" w14:paraId="402A0C50" w14:textId="5C3473C6">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366FBDCA" w:rsidP="66C8C8D7" w:rsidRDefault="366FBDCA" w14:paraId="2FB36F67" w14:textId="52064C32">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66FBDCA">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Below is a link to a review of the above paper by my instructor, Dr. Jennifer Summerville. The feedback </w:t>
      </w:r>
      <w:r w:rsidRPr="66C8C8D7" w:rsidR="467F575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provided was </w:t>
      </w:r>
      <w:r w:rsidRPr="66C8C8D7" w:rsidR="467F575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utilized</w:t>
      </w:r>
      <w:r w:rsidRPr="66C8C8D7" w:rsidR="467F575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in completing </w:t>
      </w:r>
      <w:r w:rsidRPr="66C8C8D7" w:rsidR="467F575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subsequent</w:t>
      </w:r>
      <w:r w:rsidRPr="66C8C8D7" w:rsidR="467F575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tasks.</w:t>
      </w:r>
    </w:p>
    <w:p w:rsidR="366FBDCA" w:rsidP="66C8C8D7" w:rsidRDefault="366FBDCA" w14:paraId="00963714" w14:textId="14EF5360">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hyperlink r:id="R4c6fd6a5c8ce47af">
        <w:r w:rsidRPr="66C8C8D7" w:rsidR="366FBDCA">
          <w:rPr>
            <w:rStyle w:val="Hyperlink"/>
            <w:rFonts w:ascii="Times New Roman" w:hAnsi="Times New Roman" w:eastAsia="Times New Roman" w:cs="Times New Roman"/>
            <w:b w:val="0"/>
            <w:bCs w:val="0"/>
            <w:i w:val="0"/>
            <w:iCs w:val="0"/>
            <w:caps w:val="0"/>
            <w:smallCaps w:val="0"/>
            <w:noProof w:val="0"/>
            <w:sz w:val="24"/>
            <w:szCs w:val="24"/>
            <w:lang w:val="en-US"/>
          </w:rPr>
          <w:t>https://studentnu-my.sharepoint.com/:w:/r/personal/c_duruaku5394_student_nu_edu/_layouts/15/Doc.aspx?sourcedoc=%7BD3AC48E9-910A-4A62-88CC-35415995353C%7D&amp;file=DuruakuCID8900v1-1_SummervilleReview02102026%201.docx&amp;action=default&amp;mobileredirect=true&amp;wdOrigin=APPHOME-WEB.DIRECT%2CAPPHOME-WEB.BANNER.UPLOAD&amp;wdPreviousSession=1599aec1-b66d-4f59-a8bb-4bec0938279e&amp;wdPreviousSessionSrc=AppHomeWeb&amp;ct=1774476568774</w:t>
        </w:r>
      </w:hyperlink>
    </w:p>
    <w:p w:rsidR="66C8C8D7" w:rsidP="66C8C8D7" w:rsidRDefault="66C8C8D7" w14:paraId="3A10B26D" w14:textId="1923517A">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030B7F4C" w14:textId="324B9756">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2D4D6334" w14:textId="508B4E5E">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6E65B421" w14:textId="6ECB3DCD">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7322A116" w14:textId="04CF03BE">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15DDC738" w14:textId="639086E0">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783E1B9F" w14:textId="7BC21514">
      <w:pPr>
        <w:bidi w:val="0"/>
        <w:spacing w:line="480" w:lineRule="auto"/>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09A71B43" w14:textId="1B0DB730">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5490A50D" w14:textId="40096C34">
      <w:pPr>
        <w:bidi w:val="0"/>
        <w:jc w:val="cente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66C8C8D7" w:rsidP="66C8C8D7" w:rsidRDefault="66C8C8D7" w14:paraId="3E2F695B" w14:textId="082F6774">
      <w:pPr>
        <w:bidi w:val="0"/>
        <w:jc w:val="cente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66C8C8D7" w:rsidP="66C8C8D7" w:rsidRDefault="66C8C8D7" w14:paraId="34EFADAA" w14:textId="2B4DDA23">
      <w:pPr>
        <w:bidi w:val="0"/>
        <w:jc w:val="cente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66C8C8D7" w:rsidP="66C8C8D7" w:rsidRDefault="66C8C8D7" w14:paraId="2693CE80" w14:textId="61B10F7C">
      <w:pPr>
        <w:bidi w:val="0"/>
        <w:jc w:val="cente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66C8C8D7" w:rsidP="66C8C8D7" w:rsidRDefault="66C8C8D7" w14:paraId="6520AE4F" w14:textId="4FFE0035">
      <w:pPr>
        <w:bidi w:val="0"/>
        <w:jc w:val="cente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66C8C8D7" w:rsidP="66C8C8D7" w:rsidRDefault="66C8C8D7" w14:paraId="6C774A23" w14:textId="0FF79BEE">
      <w:pPr>
        <w:bidi w:val="0"/>
        <w:jc w:val="cente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66C8C8D7" w:rsidP="66C8C8D7" w:rsidRDefault="66C8C8D7" w14:paraId="0D0CC600" w14:textId="3D5DCF13">
      <w:pPr>
        <w:bidi w:val="0"/>
        <w:jc w:val="cente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66C8C8D7" w:rsidP="66C8C8D7" w:rsidRDefault="66C8C8D7" w14:paraId="39C0FADC" w14:textId="24FB12E0">
      <w:pPr>
        <w:bidi w:val="0"/>
        <w:jc w:val="cente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66C8C8D7" w:rsidP="66C8C8D7" w:rsidRDefault="66C8C8D7" w14:paraId="41B09150" w14:textId="498A7A6D">
      <w:pPr>
        <w:bidi w:val="0"/>
        <w:jc w:val="cente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66C8C8D7" w:rsidP="66C8C8D7" w:rsidRDefault="66C8C8D7" w14:paraId="4DCB7836" w14:textId="1B469AD8">
      <w:pPr>
        <w:bidi w:val="0"/>
        <w:jc w:val="cente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66C8C8D7" w:rsidP="66C8C8D7" w:rsidRDefault="66C8C8D7" w14:paraId="02D45F76" w14:textId="07AFB67D">
      <w:pPr>
        <w:bidi w:val="0"/>
        <w:jc w:val="cente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66C8C8D7" w:rsidP="66C8C8D7" w:rsidRDefault="66C8C8D7" w14:paraId="025EBDAB" w14:textId="733D5D2C">
      <w:pPr>
        <w:bidi w:val="0"/>
        <w:jc w:val="cente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66C8C8D7" w:rsidP="66C8C8D7" w:rsidRDefault="66C8C8D7" w14:paraId="4434DD6D" w14:textId="5DE3E4A2">
      <w:pPr>
        <w:bidi w:val="0"/>
        <w:jc w:val="cente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66C8C8D7" w:rsidP="66C8C8D7" w:rsidRDefault="66C8C8D7" w14:paraId="49DFBD2D" w14:textId="6DD32332">
      <w:pPr>
        <w:bidi w:val="0"/>
        <w:jc w:val="cente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66C8C8D7" w:rsidP="66C8C8D7" w:rsidRDefault="66C8C8D7" w14:paraId="08B0267E" w14:textId="4F34922E">
      <w:pPr>
        <w:bidi w:val="0"/>
        <w:jc w:val="cente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66C8C8D7" w:rsidP="66C8C8D7" w:rsidRDefault="66C8C8D7" w14:paraId="0093BDB1" w14:textId="758FA3C1">
      <w:pPr>
        <w:bidi w:val="0"/>
        <w:jc w:val="cente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p>
    <w:p w:rsidR="1B648A2E" w:rsidP="66C8C8D7" w:rsidRDefault="1B648A2E" w14:paraId="73BDB27F" w14:textId="2F95E532">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1B648A2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To Identify an Authentic Design for the Signature Assignment</w:t>
      </w:r>
    </w:p>
    <w:p w:rsidR="66C8C8D7" w:rsidP="66C8C8D7" w:rsidRDefault="66C8C8D7" w14:paraId="244B07B6" w14:textId="55544B72">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1B648A2E" w:rsidP="66C8C8D7" w:rsidRDefault="1B648A2E" w14:paraId="66E45F03" w14:textId="452A03F9">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1B648A2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Chikodinaka T. Duruaku</w:t>
      </w:r>
    </w:p>
    <w:p w:rsidR="1B648A2E" w:rsidP="66C8C8D7" w:rsidRDefault="1B648A2E" w14:paraId="2D8CC8FF" w14:textId="13574550">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1B648A2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Sanford College of Education</w:t>
      </w:r>
    </w:p>
    <w:p w:rsidR="1B648A2E" w:rsidP="66C8C8D7" w:rsidRDefault="1B648A2E" w14:paraId="2BECAC26" w14:textId="7E59BAA8">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1B648A2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ID 8900 v1: Foundations of Instructional Design</w:t>
      </w:r>
    </w:p>
    <w:p w:rsidR="1B648A2E" w:rsidP="66C8C8D7" w:rsidRDefault="1B648A2E" w14:paraId="25F68431" w14:textId="744808FC">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1B648A2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Dr.  Jennifer Summerville</w:t>
      </w:r>
    </w:p>
    <w:p w:rsidR="1B648A2E" w:rsidP="66C8C8D7" w:rsidRDefault="1B648A2E" w14:paraId="5A7E3807" w14:textId="51455E2D">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1B648A2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February 7, 2026</w:t>
      </w:r>
    </w:p>
    <w:p w:rsidR="66C8C8D7" w:rsidP="66C8C8D7" w:rsidRDefault="66C8C8D7" w14:paraId="78729954" w14:textId="5015035F">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1B25B9D9" w14:textId="458E675B">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18B84451" w14:textId="57340B3A">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448D9737" w14:textId="42BC3194">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5698F2A2" w14:textId="342C5EF9">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458FD34C" w14:textId="00D11D26">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4B2CD6DD" w14:textId="2221DC0B">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3FC1EEEB" w14:textId="573F5644">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26057085" w14:textId="7D1FB25C">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233B6D39" w14:textId="6E91EEDF">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0D6DDC0C" w14:textId="0D69E424">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246A6A30" w14:textId="73462CD0">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31FBD0E3" w14:textId="11B686B7">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29D13070" w14:textId="7D1EAB85">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6A0A3F68" w14:textId="2EC588BA">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472099B2" w14:textId="540BFDC0">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797725B1" w14:textId="480ACA99">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22A433C7" w14:textId="60A55319">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64556E2C" w14:textId="4BD20317">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1B648A2E" w:rsidP="66C8C8D7" w:rsidRDefault="1B648A2E" w14:paraId="14B88434" w14:textId="36F35D7E">
      <w:pPr>
        <w:bidi w:val="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1B648A2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Creating an Instructional Design Toolkit and Rationale</w:t>
      </w:r>
    </w:p>
    <w:p w:rsidR="1B648A2E" w:rsidP="66C8C8D7" w:rsidRDefault="1B648A2E" w14:paraId="7BFBC711" w14:textId="678E3D78">
      <w:pPr>
        <w:bidi w:val="0"/>
        <w:spacing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1B648A2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Creating an e-portfolio to document my progress throughout this course will empower me to reflect deeply on my learning journey. As highlighted by </w:t>
      </w:r>
      <w:r w:rsidRPr="66C8C8D7" w:rsidR="1B648A2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66C8C8D7" w:rsidR="1B648A2E">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Blevins &amp; Brill (2017)</w:t>
      </w:r>
      <w:r w:rsidRPr="66C8C8D7" w:rsidR="1B648A2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66C8C8D7" w:rsidR="1B648A2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numerous professionals—such as writers, builders, and artists—have effectively used portfolios to curate, document, and share their evolving bodies of work as they refine their knowledge and skills. My e-portfolio will serve as a dynamic repository of information and resources I collect during my research, including credible sources that enhance my understanding.</w:t>
      </w:r>
    </w:p>
    <w:p w:rsidR="1B648A2E" w:rsidP="66C8C8D7" w:rsidRDefault="1B648A2E" w14:paraId="375AD664" w14:textId="49E1E87A">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1B648A2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First, I will create a title page that includes the course title, my name, a photo, and a brief biography of myself. Next, I will showcase impactful assignments that have significantly shaped my learning experience, alongside innovative instructional design tools, such as Canva-generated infographics, to visually present ideas and concepts. An e-portfolio will serve as a platform for posting feedback received from submissions, which will help me improve my learning outcomes as I implement this feedback. It will also allow me to monitor my progress and reflect on areas where I need improvement to achieve success. </w:t>
      </w:r>
      <w:r w:rsidRPr="66C8C8D7" w:rsidR="1B648A2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66C8C8D7" w:rsidR="1B648A2E">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Bangalan and Hipona (n.d.)</w:t>
      </w:r>
      <w:r w:rsidRPr="66C8C8D7" w:rsidR="1B648A2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66C8C8D7" w:rsidR="1B648A2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mention that learners use e-portfolios to record their work, achievements, and goals while reflecting on their learning.</w:t>
      </w:r>
    </w:p>
    <w:p w:rsidR="1B648A2E" w:rsidP="66C8C8D7" w:rsidRDefault="1B648A2E" w14:paraId="74D4061D" w14:textId="7942C503">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1B648A2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Additionally, the e-portfolio will facilitate collaboration with peers in a co-regulated learning process, where they can provide constructive criticism of my work. </w:t>
      </w:r>
      <w:r w:rsidRPr="66C8C8D7" w:rsidR="1B648A2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66C8C8D7" w:rsidR="1B648A2E">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Lam (2022)</w:t>
      </w:r>
      <w:r w:rsidRPr="66C8C8D7" w:rsidR="1B648A2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66C8C8D7" w:rsidR="1B648A2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explains that co-regulated learning enhances one's self-regulated learning capacity by interacting with more capable, high-performing peers. By incorporating the courses I’m currently enrolled in, I aim to establish a comprehensive reference point to guide my information sourcing for the final project. </w:t>
      </w:r>
    </w:p>
    <w:p w:rsidR="1B648A2E" w:rsidP="66C8C8D7" w:rsidRDefault="1B648A2E" w14:paraId="7E61151F" w14:textId="16AFD841">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1B648A2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Furthermore, I will include the sources of materials used to complete assignments, along with links to these sources if applicable. This will enable me to access materials that I may need for future tasks. Including a well-organized bibliography will further strengthen my research foundation and enhance the credibility of my work.</w:t>
      </w:r>
    </w:p>
    <w:p w:rsidR="66C8C8D7" w:rsidP="66C8C8D7" w:rsidRDefault="66C8C8D7" w14:paraId="648A9989" w14:textId="04463434">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68366F01" w14:textId="5507D4F3">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180C6E02" w14:textId="7B5D0EF9">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671F516C" w14:textId="709AC488">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5F49219C" w14:textId="329B51C8">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20261330" w14:textId="3B11FF7B">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5523BF22" w14:textId="796FC503">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67682A82" w14:textId="3D33CD01">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051FFF30" w14:textId="285FFCCF">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68BC615B" w14:textId="33543D72">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1C36328F" w14:textId="08C09938">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5B26FD54" w14:textId="07A7A938">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1E598331" w14:textId="752935D9">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343AEF24" w14:textId="7B309B2A">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47D1A035" w14:textId="5DAEBCA7">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6E12BA32" w14:textId="142D3EDE">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11C84C73" w14:textId="78D7B283">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0EF2FAF7" w14:textId="7271860D">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21962374" w14:textId="430FB9A2">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3AC4CE26" w14:textId="1843753B">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31F32EB3" w14:textId="6360EE49">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7E4B2502" w14:textId="7DCE4117">
      <w:pPr>
        <w:bidi w:val="0"/>
        <w:spacing w:line="480" w:lineRule="auto"/>
        <w:ind w:firstLine="720"/>
        <w:contextualSpacing w:val="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1B648A2E" w:rsidP="66C8C8D7" w:rsidRDefault="1B648A2E" w14:paraId="66FA7495" w14:textId="56AD4539">
      <w:pPr>
        <w:bidi w:val="0"/>
        <w:spacing w:line="480" w:lineRule="auto"/>
        <w:ind w:firstLine="720"/>
        <w:contextualSpacing w:val="1"/>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1B648A2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References</w:t>
      </w:r>
    </w:p>
    <w:p w:rsidR="1B648A2E" w:rsidP="66C8C8D7" w:rsidRDefault="1B648A2E" w14:paraId="6E0334F7" w14:textId="05F180F0">
      <w:pPr>
        <w:bidi w:val="0"/>
        <w:spacing w:before="0" w:beforeAutospacing="off" w:after="0" w:afterAutospacing="off"/>
        <w:ind w:left="480" w:right="0" w:hanging="48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1B648A2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66C8C8D7" w:rsidR="1B648A2E">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Bangalan, R. C., &amp; Hipona, J. B. (n.d.). </w:t>
      </w:r>
      <w:r w:rsidRPr="66C8C8D7" w:rsidR="1B648A2E">
        <w:rPr>
          <w:rFonts w:ascii="Times New Roman" w:hAnsi="Times New Roman" w:eastAsia="Times New Roman" w:cs="Times New Roman"/>
          <w:b w:val="0"/>
          <w:bCs w:val="0"/>
          <w:i w:val="1"/>
          <w:iCs w:val="1"/>
          <w:caps w:val="0"/>
          <w:smallCaps w:val="0"/>
          <w:strike w:val="0"/>
          <w:dstrike w:val="0"/>
          <w:noProof w:val="0"/>
          <w:color w:val="000000" w:themeColor="text1" w:themeTint="FF" w:themeShade="FF"/>
          <w:sz w:val="24"/>
          <w:szCs w:val="24"/>
          <w:u w:val="none"/>
          <w:lang w:val="en-US"/>
        </w:rPr>
        <w:t>E-Portfolio: A Potential E-Learning Tool to Support Student-Centered Learning, Reflective Learning and Outcome-Based Assessment</w:t>
      </w:r>
      <w:r w:rsidRPr="66C8C8D7" w:rsidR="1B648A2E">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w:t>
      </w:r>
      <w:hyperlink r:id="R4c61cfc0aa9e420f">
        <w:r w:rsidRPr="66C8C8D7" w:rsidR="1B648A2E">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https://doi.org/10.46360/globus.mgt,xxxxxxxx</w:t>
        </w:r>
      </w:hyperlink>
    </w:p>
    <w:p w:rsidR="1B648A2E" w:rsidP="66C8C8D7" w:rsidRDefault="1B648A2E" w14:paraId="3156AE71" w14:textId="1D9CD9FC">
      <w:pPr>
        <w:bidi w:val="0"/>
        <w:spacing w:before="0" w:beforeAutospacing="off" w:after="0" w:afterAutospacing="off"/>
        <w:ind w:left="480" w:right="0" w:hanging="48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1B648A2E">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Blevins, S., &amp; Brill, J. (2017). Enabling Systemic Change: Creating an ePortfolio Implementation Framework Through Design and Development Research for use by Higher Education Professionals. </w:t>
      </w:r>
      <w:r w:rsidRPr="66C8C8D7" w:rsidR="1B648A2E">
        <w:rPr>
          <w:rFonts w:ascii="Times New Roman" w:hAnsi="Times New Roman" w:eastAsia="Times New Roman" w:cs="Times New Roman"/>
          <w:b w:val="0"/>
          <w:bCs w:val="0"/>
          <w:i w:val="1"/>
          <w:iCs w:val="1"/>
          <w:caps w:val="0"/>
          <w:smallCaps w:val="0"/>
          <w:strike w:val="0"/>
          <w:dstrike w:val="0"/>
          <w:noProof w:val="0"/>
          <w:color w:val="000000" w:themeColor="text1" w:themeTint="FF" w:themeShade="FF"/>
          <w:sz w:val="24"/>
          <w:szCs w:val="24"/>
          <w:u w:val="none"/>
          <w:lang w:val="en-US"/>
        </w:rPr>
        <w:t>International Journal of Teaching</w:t>
      </w:r>
      <w:r w:rsidRPr="66C8C8D7" w:rsidR="1B648A2E">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w:t>
      </w:r>
      <w:r w:rsidRPr="66C8C8D7" w:rsidR="1B648A2E">
        <w:rPr>
          <w:rFonts w:ascii="Times New Roman" w:hAnsi="Times New Roman" w:eastAsia="Times New Roman" w:cs="Times New Roman"/>
          <w:b w:val="0"/>
          <w:bCs w:val="0"/>
          <w:i w:val="1"/>
          <w:iCs w:val="1"/>
          <w:caps w:val="0"/>
          <w:smallCaps w:val="0"/>
          <w:strike w:val="0"/>
          <w:dstrike w:val="0"/>
          <w:noProof w:val="0"/>
          <w:color w:val="000000" w:themeColor="text1" w:themeTint="FF" w:themeShade="FF"/>
          <w:sz w:val="24"/>
          <w:szCs w:val="24"/>
          <w:u w:val="none"/>
          <w:lang w:val="en-US"/>
        </w:rPr>
        <w:t>29</w:t>
      </w:r>
      <w:r w:rsidRPr="66C8C8D7" w:rsidR="1B648A2E">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(2), 216–232. </w:t>
      </w:r>
      <w:hyperlink r:id="R0d865d7e7b03462a">
        <w:r w:rsidRPr="66C8C8D7" w:rsidR="1B648A2E">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http://www.isetl.org/ijtlhe/</w:t>
        </w:r>
      </w:hyperlink>
    </w:p>
    <w:p w:rsidR="1B648A2E" w:rsidP="66C8C8D7" w:rsidRDefault="1B648A2E" w14:paraId="44097779" w14:textId="7CBE7BBB">
      <w:pPr>
        <w:bidi w:val="0"/>
        <w:spacing w:before="0" w:beforeAutospacing="off" w:after="0" w:afterAutospacing="off"/>
        <w:ind w:left="480" w:right="0" w:hanging="48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1B648A2E">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Lam, R. (2022). E-Portfolios for self-regulated and co-regulated learning: A review. In </w:t>
      </w:r>
      <w:r w:rsidRPr="66C8C8D7" w:rsidR="1B648A2E">
        <w:rPr>
          <w:rFonts w:ascii="Times New Roman" w:hAnsi="Times New Roman" w:eastAsia="Times New Roman" w:cs="Times New Roman"/>
          <w:b w:val="0"/>
          <w:bCs w:val="0"/>
          <w:i w:val="1"/>
          <w:iCs w:val="1"/>
          <w:caps w:val="0"/>
          <w:smallCaps w:val="0"/>
          <w:strike w:val="0"/>
          <w:dstrike w:val="0"/>
          <w:noProof w:val="0"/>
          <w:color w:val="000000" w:themeColor="text1" w:themeTint="FF" w:themeShade="FF"/>
          <w:sz w:val="24"/>
          <w:szCs w:val="24"/>
          <w:u w:val="none"/>
          <w:lang w:val="en-US"/>
        </w:rPr>
        <w:t>Frontiers in Psychology</w:t>
      </w:r>
      <w:r w:rsidRPr="66C8C8D7" w:rsidR="1B648A2E">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(Vol. 13). Frontiers Media S.A. </w:t>
      </w:r>
      <w:hyperlink r:id="R5f9b890a88ac4e63">
        <w:r w:rsidRPr="66C8C8D7" w:rsidR="1B648A2E">
          <w:rPr>
            <w:rStyle w:val="Hyperlink"/>
            <w:rFonts w:ascii="Times New Roman" w:hAnsi="Times New Roman" w:eastAsia="Times New Roman" w:cs="Times New Roman"/>
            <w:b w:val="0"/>
            <w:bCs w:val="0"/>
            <w:i w:val="0"/>
            <w:iCs w:val="0"/>
            <w:caps w:val="0"/>
            <w:smallCaps w:val="0"/>
            <w:strike w:val="0"/>
            <w:dstrike w:val="0"/>
            <w:noProof w:val="0"/>
            <w:sz w:val="24"/>
            <w:szCs w:val="24"/>
            <w:lang w:val="en-US"/>
          </w:rPr>
          <w:t>https://doi.org/10.3389/fpsyg.2022.1079385</w:t>
        </w:r>
      </w:hyperlink>
    </w:p>
    <w:p w:rsidR="1B648A2E" w:rsidP="66C8C8D7" w:rsidRDefault="1B648A2E" w14:paraId="629AD642" w14:textId="401AF41D">
      <w:pPr>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1B648A2E">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 xml:space="preserve">  </w:t>
      </w:r>
      <w:r w:rsidRPr="66C8C8D7" w:rsidR="1B648A2E">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w:rsidR="66C8C8D7" w:rsidP="66C8C8D7" w:rsidRDefault="66C8C8D7" w14:paraId="4AB3AA45" w14:textId="0B8CEA9E">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40D36F2" w14:textId="0A05A23A">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448B5924" w14:textId="5759C860">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348ADA45" w14:textId="511F7601">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6936D045" w14:textId="326450BA">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42B63B42" w14:textId="09591807">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69EF4131" w14:textId="2561D5B5">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3655DB42" w14:textId="5B09B478">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D5F2E7B" w14:textId="1120C49B">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1FCD061" w14:textId="3D37BF2E">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2FF8EAD" w14:textId="5523238D">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830B00E" w14:textId="340A6126">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35106F5F" w:rsidP="66C8C8D7" w:rsidRDefault="35106F5F" w14:paraId="6802D417" w14:textId="5A4E032F">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5106F5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 Mind Map for an Instructional Design Model</w:t>
      </w:r>
    </w:p>
    <w:p w:rsidR="35106F5F" w:rsidP="66C8C8D7" w:rsidRDefault="35106F5F" w14:paraId="54B44566" w14:textId="407AE30F">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5106F5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Chikodinaka T. Duruaku</w:t>
      </w:r>
    </w:p>
    <w:p w:rsidR="35106F5F" w:rsidP="66C8C8D7" w:rsidRDefault="35106F5F" w14:paraId="2A38EFB1" w14:textId="2917E610">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5106F5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Sanford College of Education</w:t>
      </w:r>
    </w:p>
    <w:p w:rsidR="35106F5F" w:rsidP="66C8C8D7" w:rsidRDefault="35106F5F" w14:paraId="4424BB54" w14:textId="5770EEEA">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5106F5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ID 8900 v1: Foundations of Instructional Design</w:t>
      </w:r>
    </w:p>
    <w:p w:rsidR="35106F5F" w:rsidP="66C8C8D7" w:rsidRDefault="35106F5F" w14:paraId="55B694A8" w14:textId="6DD42C1D">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5106F5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Dr.  Jennifer Summerville</w:t>
      </w:r>
    </w:p>
    <w:p w:rsidR="35106F5F" w:rsidP="66C8C8D7" w:rsidRDefault="35106F5F" w14:paraId="1EBC16B0" w14:textId="72053848">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5106F5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February 14, 2026</w:t>
      </w:r>
    </w:p>
    <w:p w:rsidR="35106F5F" w:rsidP="66C8C8D7" w:rsidRDefault="35106F5F" w14:paraId="07B36561" w14:textId="664BC45B">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5106F5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66C8C8D7" w:rsidP="66C8C8D7" w:rsidRDefault="66C8C8D7" w14:paraId="4684A349" w14:textId="45CDB22A">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5E1BD3F8" w14:textId="1D84D5C9">
      <w:pPr>
        <w:bidi w:val="0"/>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1C05D77A" w14:textId="0AE85A2F">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6AEA2EEA" w14:textId="5E4EC7DE">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4F7004C6" w14:textId="10D2F81B">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B7E7DB2" w14:textId="4CA75BC2">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58EA2C8" w14:textId="20D322C0">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69E50800" w14:textId="24E26095">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462778E4" w14:textId="01E28489">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39CC42BD" w14:textId="516378C7">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677A6B45" w14:textId="562AFE8C">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5A94AB20" w14:textId="3B3E8757">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3465D2E1" w14:textId="0FB33D5F">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8B4D912" w14:textId="7AEFC4F4">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23ADC166" w:rsidP="66C8C8D7" w:rsidRDefault="23ADC166" w14:paraId="1923DA92" w14:textId="78DA57DC">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23ADC166">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 Mind Map for an Instructional Design Model</w:t>
      </w:r>
    </w:p>
    <w:p w:rsidR="23ADC166" w:rsidP="66C8C8D7" w:rsidRDefault="23ADC166" w14:paraId="6309EFD1" w14:textId="6F2C81B7">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23ADC16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Shi et al. (2023) discuss mind mapping as a note-taking technique that helps individuals organize their thoughts and information visually. This method involves creating a central image that represents the main theme, with related ideas radiating outward. Mind maps are particularly effective for exploring all the aspects of an instructional design model, including design, development, and implementation. As a visualization tool, mind mapping not only illustrates the central theme and its connections but also encourages the development of creative associations between ideas. </w:t>
      </w:r>
    </w:p>
    <w:p w:rsidR="23ADC166" w:rsidP="66C8C8D7" w:rsidRDefault="23ADC166" w14:paraId="7EFD380D" w14:textId="27D1FCF0">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23ADC16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 will employ a Universal Design for Learning (UDL) approach to create a mind map for chemistry content. The reason for using UDL is to design an engaging instruction that is accessible to all learners. According to Hollander and Melle (2023), Universal Design for Learning is a framework for creating inclusive instruction and enhancing overall instructional quality. The central idea of UDL is to make learning goals and pathways more flexible. Aisyah et al. (2024) share the same view and explain that the UDL approach can create a flexible learning environment by presenting information in various ways and offering options for demonstrating learning.</w:t>
      </w:r>
    </w:p>
    <w:p w:rsidR="23ADC166" w:rsidP="66C8C8D7" w:rsidRDefault="23ADC166" w14:paraId="513B6D4C" w14:textId="2A48C0C3">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23ADC166">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Mind Map for Atomic Structure</w:t>
      </w:r>
    </w:p>
    <w:p w:rsidR="23ADC166" w:rsidP="66C8C8D7" w:rsidRDefault="23ADC166" w14:paraId="5EEB723A" w14:textId="12E07DFF">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23ADC16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23ADC166" w:rsidP="66C8C8D7" w:rsidRDefault="23ADC166" w14:paraId="1460D1B9" w14:textId="231CB157">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23ADC16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lesson topic is atomic structure, and the goal is for students to identify, locate, and describe the properties of the three subatomic particles: protons, neutrons, and electrons. The specific instructional objectives include explaining that the structure of the atom comprises a nucleus, made up of protons and neutrons, surrounded by electron shells/clouds. Additionally, students will describe subatomic particles, determine the numbers of protons, electrons, and neutrons, and draw models of atoms showing the nucleus and energy levels. Using a Universal Design for Learning (UDL) approach to teach atomic structure enhances accessibility and engagement. This approach provides multiple means of engagement, representation, action, and expression. Instructors can use tactile and visual tools, such as modeling atoms with Play-Doh and interactive simulations, to help students visualize subatomic particles and their interactions, thereby reducing barriers for diverse learners. </w:t>
      </w:r>
    </w:p>
    <w:p w:rsidR="23ADC166" w:rsidP="66C8C8D7" w:rsidRDefault="23ADC166" w14:paraId="1B077C44" w14:textId="14DBDA87">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23ADC16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According to Aisyah et al. (2024), the UDL approach is based on three principles: multiple engagement, multiple representations, and multiple actions and expressions. UDL offers a framework for designing learning objectives, methods, materials, and assessments that cater to each learner's needs. These principles are incorporated into the design of the mind map for atomic structure, as shown in Figure 1 below. </w:t>
      </w:r>
    </w:p>
    <w:p w:rsidR="23ADC166" w:rsidP="66C8C8D7" w:rsidRDefault="23ADC166" w14:paraId="1C56869C" w14:textId="008786E1">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23ADC16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66C8C8D7" w:rsidP="66C8C8D7" w:rsidRDefault="66C8C8D7" w14:paraId="2AE968FC" w14:textId="281BD256">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217B5301" w14:textId="48379A6A">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63CEE4C9" w14:textId="6F7666B2">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39FA885A" w14:textId="6BD9AF31">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567C3242" w14:textId="0851045F">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7F491ECC" w14:textId="0006AFED">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1E9F732D" w14:textId="636BF60B">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2F86DAF5" w14:textId="4DFB6753">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5F3F681B" w14:textId="796B15B3">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08B26E15" w14:textId="5DD9B489">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23ADC166" w:rsidP="66C8C8D7" w:rsidRDefault="23ADC166" w14:paraId="754E03DA" w14:textId="5DA650B6">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23ADC16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(Figure 1)</w:t>
      </w:r>
    </w:p>
    <w:p w:rsidR="23ADC166" w:rsidP="66C8C8D7" w:rsidRDefault="23ADC166" w14:paraId="3FCD2E25" w14:textId="58A5D6F0">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23ADC16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23ADC166" w:rsidP="66C8C8D7" w:rsidRDefault="23ADC166" w14:paraId="5D930E12" w14:textId="6FCAC997">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23ADC166">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Figure 1</w:t>
      </w:r>
    </w:p>
    <w:p w:rsidR="23ADC166" w:rsidP="66C8C8D7" w:rsidRDefault="23ADC166" w14:paraId="2016BBFD" w14:textId="70998931">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23ADC166">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A Mind Map of Atomic Structure Using Universal Design for Learning Approach</w:t>
      </w:r>
    </w:p>
    <w:p w:rsidR="23ADC166" w:rsidP="66C8C8D7" w:rsidRDefault="23ADC166" w14:paraId="7753C17B" w14:textId="272C6164">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23ADC166">
        <w:drawing>
          <wp:inline wp14:editId="02DC964B" wp14:anchorId="095B34D5">
            <wp:extent cx="5203231" cy="2926080"/>
            <wp:effectExtent l="0" t="0" r="0" b="0"/>
            <wp:docPr id="80779071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07790710" name="Picture 807790710"/>
                    <pic:cNvPicPr/>
                  </pic:nvPicPr>
                  <pic:blipFill>
                    <a:blip xmlns:r="http://schemas.openxmlformats.org/officeDocument/2006/relationships" r:embed="rId737103199">
                      <a:extLst>
                        <a:ext uri="{28A0092B-C50C-407E-A947-70E740481C1C}">
                          <a14:useLocalDpi xmlns:a14="http://schemas.microsoft.com/office/drawing/2010/main"/>
                        </a:ext>
                      </a:extLst>
                    </a:blip>
                    <a:stretch>
                      <a:fillRect/>
                    </a:stretch>
                  </pic:blipFill>
                  <pic:spPr>
                    <a:xfrm rot="0">
                      <a:off x="0" y="0"/>
                      <a:ext cx="5203231" cy="2926080"/>
                    </a:xfrm>
                    <a:prstGeom prst="rect">
                      <a:avLst/>
                    </a:prstGeom>
                  </pic:spPr>
                </pic:pic>
              </a:graphicData>
            </a:graphic>
          </wp:inline>
        </w:drawing>
      </w:r>
    </w:p>
    <w:p w:rsidR="23ADC166" w:rsidP="66C8C8D7" w:rsidRDefault="23ADC166" w14:paraId="57F72A50" w14:textId="70E5E6E6">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23ADC16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23ADC166" w:rsidP="66C8C8D7" w:rsidRDefault="23ADC166" w14:paraId="7DC47B1B" w14:textId="36A1B7E0">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23ADC16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23ADC166" w:rsidP="66C8C8D7" w:rsidRDefault="23ADC166" w14:paraId="69C7FFAA" w14:textId="7847BEA0">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23ADC16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23ADC166" w:rsidP="66C8C8D7" w:rsidRDefault="23ADC166" w14:paraId="42F612BC" w14:textId="35B7AB02">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23ADC16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23ADC166" w:rsidP="66C8C8D7" w:rsidRDefault="23ADC166" w14:paraId="1514C2FA" w14:textId="7DE53845">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23ADC16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66C8C8D7" w:rsidP="66C8C8D7" w:rsidRDefault="66C8C8D7" w14:paraId="1ABD64F5" w14:textId="3BC5FAF4">
      <w:pPr>
        <w:bidi w:val="0"/>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0F6A8E99" w14:textId="14FA2DA9">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86DBFC3" w14:textId="511AD4DF">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99EAC90" w14:textId="08602355">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690339D8" w14:textId="4FC91E9D">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6286042C" w14:textId="767835D8">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31BE916A" w14:textId="33C73EA9">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1B46B5E" w14:textId="4FA816CD">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23ADC166" w:rsidP="66C8C8D7" w:rsidRDefault="23ADC166" w14:paraId="349E4577" w14:textId="47471612">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23ADC166">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References</w:t>
      </w:r>
    </w:p>
    <w:p w:rsidR="23ADC166" w:rsidP="66C8C8D7" w:rsidRDefault="23ADC166" w14:paraId="02A1B976" w14:textId="22C852D1">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23ADC16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Aisyah, Z., Kiki, P., Lisa, A., &amp; Aldi, K. I. (2024). Literature review: Universal design for learning (UDL) approach of chemistry learning in inclusion schools. </w:t>
      </w:r>
      <w:r w:rsidRPr="66C8C8D7" w:rsidR="23ADC166">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Hydrogen Jurnal Kependidikan Kimia</w:t>
      </w:r>
      <w:r w:rsidRPr="66C8C8D7" w:rsidR="23ADC16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6C8C8D7" w:rsidR="23ADC166">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12</w:t>
      </w:r>
      <w:r w:rsidRPr="66C8C8D7" w:rsidR="23ADC16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(6), 1324–1337. </w:t>
      </w:r>
      <w:hyperlink r:id="Rdca8dfb42b424afd">
        <w:r w:rsidRPr="66C8C8D7" w:rsidR="23ADC166">
          <w:rPr>
            <w:rStyle w:val="Hyperlink"/>
            <w:rFonts w:ascii="Times New Roman" w:hAnsi="Times New Roman" w:eastAsia="Times New Roman" w:cs="Times New Roman"/>
            <w:b w:val="0"/>
            <w:bCs w:val="0"/>
            <w:i w:val="0"/>
            <w:iCs w:val="0"/>
            <w:caps w:val="0"/>
            <w:smallCaps w:val="0"/>
            <w:noProof w:val="0"/>
            <w:sz w:val="24"/>
            <w:szCs w:val="24"/>
            <w:lang w:val="en-US"/>
          </w:rPr>
          <w:t>https://e-journal.undikma.ac.id/index.php/hydrogen/index</w:t>
        </w:r>
      </w:hyperlink>
    </w:p>
    <w:p w:rsidR="23ADC166" w:rsidP="66C8C8D7" w:rsidRDefault="23ADC166" w14:paraId="6F5F0D09" w14:textId="19778B52">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23ADC16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Hollander, M., &amp; Melle, I. (2023). ChemDive - A classroom planning tool for infusing universal design for learning. </w:t>
      </w:r>
      <w:r w:rsidRPr="66C8C8D7" w:rsidR="23ADC166">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Chemistry Teacher International</w:t>
      </w:r>
      <w:r w:rsidRPr="66C8C8D7" w:rsidR="23ADC16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6C8C8D7" w:rsidR="23ADC166">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5</w:t>
      </w:r>
      <w:r w:rsidRPr="66C8C8D7" w:rsidR="23ADC16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(2), 165–176. </w:t>
      </w:r>
      <w:hyperlink r:id="Raf2e38f861244b4f">
        <w:r w:rsidRPr="66C8C8D7" w:rsidR="23ADC166">
          <w:rPr>
            <w:rStyle w:val="Hyperlink"/>
            <w:rFonts w:ascii="Times New Roman" w:hAnsi="Times New Roman" w:eastAsia="Times New Roman" w:cs="Times New Roman"/>
            <w:b w:val="0"/>
            <w:bCs w:val="0"/>
            <w:i w:val="0"/>
            <w:iCs w:val="0"/>
            <w:caps w:val="0"/>
            <w:smallCaps w:val="0"/>
            <w:noProof w:val="0"/>
            <w:sz w:val="24"/>
            <w:szCs w:val="24"/>
            <w:lang w:val="en-US"/>
          </w:rPr>
          <w:t>https://doi.org/10.1515/cti-2022-0039</w:t>
        </w:r>
      </w:hyperlink>
    </w:p>
    <w:p w:rsidR="23ADC166" w:rsidP="66C8C8D7" w:rsidRDefault="23ADC166" w14:paraId="45D1E329" w14:textId="00AE962B">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23ADC16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Shi, Y., Yang, H., Dou, Y., &amp; Zeng, Y. (2023). Effects of mind mapping-based instruction on student cognitive learning outcomes: A meta-analysis. </w:t>
      </w:r>
      <w:r w:rsidRPr="66C8C8D7" w:rsidR="23ADC166">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Asia Pacific Education Review</w:t>
      </w:r>
      <w:r w:rsidRPr="66C8C8D7" w:rsidR="23ADC16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6C8C8D7" w:rsidR="23ADC166">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24</w:t>
      </w:r>
      <w:r w:rsidRPr="66C8C8D7" w:rsidR="23ADC16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(3), 303–317. </w:t>
      </w:r>
      <w:hyperlink r:id="R55097f0403324ae8">
        <w:r w:rsidRPr="66C8C8D7" w:rsidR="23ADC166">
          <w:rPr>
            <w:rStyle w:val="Hyperlink"/>
            <w:rFonts w:ascii="Times New Roman" w:hAnsi="Times New Roman" w:eastAsia="Times New Roman" w:cs="Times New Roman"/>
            <w:b w:val="0"/>
            <w:bCs w:val="0"/>
            <w:i w:val="0"/>
            <w:iCs w:val="0"/>
            <w:caps w:val="0"/>
            <w:smallCaps w:val="0"/>
            <w:noProof w:val="0"/>
            <w:sz w:val="24"/>
            <w:szCs w:val="24"/>
            <w:lang w:val="en-US"/>
          </w:rPr>
          <w:t>https://doi.org/10.1007/s12564-022-09746-9</w:t>
        </w:r>
      </w:hyperlink>
    </w:p>
    <w:p w:rsidR="66C8C8D7" w:rsidP="66C8C8D7" w:rsidRDefault="66C8C8D7" w14:paraId="31C45573" w14:textId="48B65B00">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770D11B" w14:textId="7ED3D748">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C4A159E" w14:textId="0E158875">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52713489" w14:textId="6D113929">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31591D7" w14:textId="40C8933D">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52DB404A" w14:textId="11EC5678">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80D84BE" w14:textId="2BE9A47A">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61D734F" w14:textId="66F33792">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5A91263" w14:textId="769ED657">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72AA511C" w:rsidP="66C8C8D7" w:rsidRDefault="72AA511C" w14:paraId="689414FF" w14:textId="3CAB127E">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2AA511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Evaluate the Mind Mapping Assignment</w:t>
      </w:r>
    </w:p>
    <w:p w:rsidR="72AA511C" w:rsidP="66C8C8D7" w:rsidRDefault="72AA511C" w14:paraId="0A94EFC3" w14:textId="3E26068D">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2AA511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Chikodinaka T. Duruaku </w:t>
      </w:r>
    </w:p>
    <w:p w:rsidR="72AA511C" w:rsidP="66C8C8D7" w:rsidRDefault="72AA511C" w14:paraId="787799C9" w14:textId="343B1C9F">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2AA511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Sanford College of Education</w:t>
      </w:r>
    </w:p>
    <w:p w:rsidR="72AA511C" w:rsidP="66C8C8D7" w:rsidRDefault="72AA511C" w14:paraId="2B4F5C1B" w14:textId="312F20B5">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2AA511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ID 8900 V1: Foundations of Instructional Design</w:t>
      </w:r>
    </w:p>
    <w:p w:rsidR="72AA511C" w:rsidP="66C8C8D7" w:rsidRDefault="72AA511C" w14:paraId="3251D2A3" w14:textId="3A0E7942">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2AA511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Dr.  Jennifer Summerville</w:t>
      </w:r>
    </w:p>
    <w:p w:rsidR="72AA511C" w:rsidP="66C8C8D7" w:rsidRDefault="72AA511C" w14:paraId="58C00B49" w14:textId="7042CE7C">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2AA511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February 14, 2026</w:t>
      </w:r>
    </w:p>
    <w:p w:rsidR="66C8C8D7" w:rsidP="66C8C8D7" w:rsidRDefault="66C8C8D7" w14:paraId="0DC96A0B" w14:textId="14D941B2">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0F163A4A" w14:textId="328CD2A4">
      <w:pPr>
        <w:bidi w:val="0"/>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113A3899" w14:textId="43C84683">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86953AB" w14:textId="705A9C6F">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3AB0AE21" w14:textId="7D1676EE">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4D166C69" w14:textId="01A2BB65">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3896D686" w14:textId="28623027">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B92FDDF" w14:textId="491F2708">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8EE58DE" w14:textId="7999CD8A">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0077A5C" w14:textId="5BF1EE48">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071887C" w14:textId="55FAA6B3">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D90E71F" w14:textId="744964A9">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3041073C" w14:textId="66960787">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A8B20CF" w14:textId="206244DE">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4990F283" w:rsidP="66C8C8D7" w:rsidRDefault="4990F283" w14:paraId="3EC9B379" w14:textId="5D84BF69">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990F28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Evaluate the Mind Mapping Assignment </w:t>
      </w:r>
    </w:p>
    <w:p w:rsidR="4990F283" w:rsidP="66C8C8D7" w:rsidRDefault="4990F283" w14:paraId="0E03AA8E" w14:textId="2A225730">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990F28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Creating a mind map of atomic structure using the universal design approach offered valuable insights into how to make learning more inclusive. It outlined a comprehensive framework for designing and implementing engaging instruction that incorporates scaffolding strategies, making the learning experience more meaningful for students. According to Shi et al. (2023), mind mapping focuses on essential keywords and establishes clear associations between them. The goals and objectives were stated to ensure that students master the content and make connections between prior knowledge and new learning. For example, students should be able to connect Bohr’s model of the atom to the planetary system, which they know consists of the sun and the planets that orbit it. In Bohr’s model of the atom, electrons move in their orbits around the nucleus (center of the atom). This aspect of learning is associated with multiple means of representation. Students understand new concepts better when they can relate them to prior knowledge and when they are illustrated through multiple media such as simulation tools, graphics, and videos. I also discovered that the other dimensions of UDL, engagement, and action and expression, utilize models that make learning meaningful and fun for students. Students are more engaged when they carry out hands-on activities, such as designing 3D models of atoms and making real-world connections to new content. For example, elements are made of similar kinds of atoms and cannot be broken down into simpler substances. Students should be able to mention familiar elements that exist naturally, such as oxygen and nitrogen. Oxygen is used for breathing, and nitrogen undergoes a natural cycle. Students may showcase multiple means of expression. They do this by building atomic models or drawing images of atoms. The materials they usually used to build Bohr’s atomic models are fruit loop cereal, glue, and marker. See figure 1 below. </w:t>
      </w:r>
    </w:p>
    <w:p w:rsidR="4990F283" w:rsidP="66C8C8D7" w:rsidRDefault="4990F283" w14:paraId="091E156B" w14:textId="09DA9F4A">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990F28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4990F283" w:rsidP="66C8C8D7" w:rsidRDefault="4990F283" w14:paraId="54ED59E2" w14:textId="43BF2B37">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990F28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Figure 1</w:t>
      </w:r>
    </w:p>
    <w:p w:rsidR="4990F283" w:rsidP="66C8C8D7" w:rsidRDefault="4990F283" w14:paraId="2DC8ABA4" w14:textId="03922F98">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990F283">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A Student's Representation of Lithium-7 Isotope With 3 Protons, 3 Electrons, and 4 Neutrons</w:t>
      </w:r>
    </w:p>
    <w:p w:rsidR="4990F283" w:rsidP="66C8C8D7" w:rsidRDefault="4990F283" w14:paraId="7274D765" w14:textId="36E071CA">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4990F283">
        <w:drawing>
          <wp:inline wp14:editId="741C70C7" wp14:anchorId="443A0624">
            <wp:extent cx="4200525" cy="3190875"/>
            <wp:effectExtent l="0" t="0" r="0" b="0"/>
            <wp:docPr id="187335445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73354450" name="Picture 1873354450"/>
                    <pic:cNvPicPr/>
                  </pic:nvPicPr>
                  <pic:blipFill>
                    <a:blip xmlns:r="http://schemas.openxmlformats.org/officeDocument/2006/relationships" r:embed="rId491423740">
                      <a:extLst>
                        <a:ext uri="{28A0092B-C50C-407E-A947-70E740481C1C}">
                          <a14:useLocalDpi xmlns:a14="http://schemas.microsoft.com/office/drawing/2010/main"/>
                        </a:ext>
                      </a:extLst>
                    </a:blip>
                    <a:stretch>
                      <a:fillRect/>
                    </a:stretch>
                  </pic:blipFill>
                  <pic:spPr>
                    <a:xfrm>
                      <a:off x="0" y="0"/>
                      <a:ext cx="4200525" cy="3190875"/>
                    </a:xfrm>
                    <a:prstGeom prst="rect">
                      <a:avLst/>
                    </a:prstGeom>
                  </pic:spPr>
                </pic:pic>
              </a:graphicData>
            </a:graphic>
          </wp:inline>
        </w:drawing>
      </w:r>
    </w:p>
    <w:p w:rsidR="4990F283" w:rsidP="66C8C8D7" w:rsidRDefault="4990F283" w14:paraId="3B571758" w14:textId="769CC3EA">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990F28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4990F283" w:rsidP="66C8C8D7" w:rsidRDefault="4990F283" w14:paraId="64F82005" w14:textId="36BC4C73">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990F28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4990F283" w:rsidP="66C8C8D7" w:rsidRDefault="4990F283" w14:paraId="652FCE60" w14:textId="3C8ABF3A">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990F28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4990F283" w:rsidP="66C8C8D7" w:rsidRDefault="4990F283" w14:paraId="25111D5F" w14:textId="526D007B">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990F28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One of my students constructed the Bohr model of the Lithium-7 isotope. Universal Design for Learning (UDL) empowers students to connect deeply with learning material in ways that feel authentic and meaningful to them. It focuses on creating flexible pathways to ensure every student can succeed. The fundamental idea behind UDL is to make learning goals and paths more adaptable for students (Aisyah et al., 2024; Hollander &amp; Melle, 2023). </w:t>
      </w:r>
    </w:p>
    <w:p w:rsidR="66C8C8D7" w:rsidP="66C8C8D7" w:rsidRDefault="66C8C8D7" w14:paraId="12544776" w14:textId="557E63E1">
      <w:pPr>
        <w:bidi w:val="0"/>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4990F283" w:rsidP="66C8C8D7" w:rsidRDefault="4990F283" w14:paraId="1CCF8DF7" w14:textId="72B35B7E">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990F28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References</w:t>
      </w:r>
    </w:p>
    <w:p w:rsidR="4990F283" w:rsidP="66C8C8D7" w:rsidRDefault="4990F283" w14:paraId="3339B69B" w14:textId="0B3FA0AC">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990F28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Aisyah, Z., Kiki, P., Lisa, A., &amp; Aldi, K. I. (2024). Literature review: Universal design for learning (UDL) approach of chemistry learning in inclusion schools. </w:t>
      </w:r>
      <w:r w:rsidRPr="66C8C8D7" w:rsidR="4990F283">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Hydrogen Jurnal Kependidikan Kimia</w:t>
      </w:r>
      <w:r w:rsidRPr="66C8C8D7" w:rsidR="4990F28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6C8C8D7" w:rsidR="4990F283">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12</w:t>
      </w:r>
      <w:r w:rsidRPr="66C8C8D7" w:rsidR="4990F28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(6), 1324–1337. </w:t>
      </w:r>
      <w:hyperlink r:id="R201086cdff53486e">
        <w:r w:rsidRPr="66C8C8D7" w:rsidR="4990F283">
          <w:rPr>
            <w:rStyle w:val="Hyperlink"/>
            <w:rFonts w:ascii="Times New Roman" w:hAnsi="Times New Roman" w:eastAsia="Times New Roman" w:cs="Times New Roman"/>
            <w:b w:val="0"/>
            <w:bCs w:val="0"/>
            <w:i w:val="0"/>
            <w:iCs w:val="0"/>
            <w:caps w:val="0"/>
            <w:smallCaps w:val="0"/>
            <w:noProof w:val="0"/>
            <w:sz w:val="24"/>
            <w:szCs w:val="24"/>
            <w:lang w:val="en-US"/>
          </w:rPr>
          <w:t>https://e-journal.undikma.ac.id/index.php/hydrogen/index</w:t>
        </w:r>
      </w:hyperlink>
    </w:p>
    <w:p w:rsidR="4990F283" w:rsidP="66C8C8D7" w:rsidRDefault="4990F283" w14:paraId="6EF3436C" w14:textId="53616A7E">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990F28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Hollander, M., &amp; Melle, I. (2023). ChemDive - A classroom planning tool for infusing universal design for learning. </w:t>
      </w:r>
      <w:r w:rsidRPr="66C8C8D7" w:rsidR="4990F283">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Chemistry Teacher International</w:t>
      </w:r>
      <w:r w:rsidRPr="66C8C8D7" w:rsidR="4990F28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6C8C8D7" w:rsidR="4990F283">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5</w:t>
      </w:r>
      <w:r w:rsidRPr="66C8C8D7" w:rsidR="4990F28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(2), 165–176. </w:t>
      </w:r>
      <w:hyperlink r:id="R7ed904017b03436f">
        <w:r w:rsidRPr="66C8C8D7" w:rsidR="4990F283">
          <w:rPr>
            <w:rStyle w:val="Hyperlink"/>
            <w:rFonts w:ascii="Times New Roman" w:hAnsi="Times New Roman" w:eastAsia="Times New Roman" w:cs="Times New Roman"/>
            <w:b w:val="0"/>
            <w:bCs w:val="0"/>
            <w:i w:val="0"/>
            <w:iCs w:val="0"/>
            <w:caps w:val="0"/>
            <w:smallCaps w:val="0"/>
            <w:noProof w:val="0"/>
            <w:sz w:val="24"/>
            <w:szCs w:val="24"/>
            <w:lang w:val="en-US"/>
          </w:rPr>
          <w:t>https://doi.org/10.1515/cti-2022-0039</w:t>
        </w:r>
      </w:hyperlink>
    </w:p>
    <w:p w:rsidR="4990F283" w:rsidP="66C8C8D7" w:rsidRDefault="4990F283" w14:paraId="6A584D03" w14:textId="3B2AE293">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990F28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Shi, Y., Yang, H., Dou, Y., &amp; Zeng, Y. (2023). Effects of mind mapping-based instruction on student cognitive learning outcomes: A meta-analysis. </w:t>
      </w:r>
      <w:r w:rsidRPr="66C8C8D7" w:rsidR="4990F283">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Asia Pacific Education Review</w:t>
      </w:r>
      <w:r w:rsidRPr="66C8C8D7" w:rsidR="4990F28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6C8C8D7" w:rsidR="4990F283">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24</w:t>
      </w:r>
      <w:r w:rsidRPr="66C8C8D7" w:rsidR="4990F28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(3), 303–317. </w:t>
      </w:r>
      <w:hyperlink r:id="R910ec555b9fb4394">
        <w:r w:rsidRPr="66C8C8D7" w:rsidR="4990F283">
          <w:rPr>
            <w:rStyle w:val="Hyperlink"/>
            <w:rFonts w:ascii="Times New Roman" w:hAnsi="Times New Roman" w:eastAsia="Times New Roman" w:cs="Times New Roman"/>
            <w:b w:val="0"/>
            <w:bCs w:val="0"/>
            <w:i w:val="0"/>
            <w:iCs w:val="0"/>
            <w:caps w:val="0"/>
            <w:smallCaps w:val="0"/>
            <w:noProof w:val="0"/>
            <w:sz w:val="24"/>
            <w:szCs w:val="24"/>
            <w:lang w:val="en-US"/>
          </w:rPr>
          <w:t>https://doi.org/10.1007/s12564-022-09746-9</w:t>
        </w:r>
      </w:hyperlink>
    </w:p>
    <w:p w:rsidR="66C8C8D7" w:rsidP="66C8C8D7" w:rsidRDefault="66C8C8D7" w14:paraId="5214889D" w14:textId="2030489D">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5F8B7795" w14:textId="529A4748">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14563C0" w14:textId="117C8D92">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54B8311B" w14:textId="33BA55BC">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3C3D4BD8" w14:textId="02F0AC23">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64F27134" w14:textId="6BFDFC56">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46F956FA" w14:textId="6B9B47F8">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40A3A79" w14:textId="4BD64ECB">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8FC1544" w14:textId="1CA02C28">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6D728B96" w14:textId="17BE0DCC">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54763047" w14:textId="359E0797">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3270BF6C" w:rsidP="66C8C8D7" w:rsidRDefault="3270BF6C" w14:paraId="4E439AF7" w14:textId="1097B146">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270BF6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The Opportunities and Challenges of Collaboration in Instructional Design</w:t>
      </w:r>
    </w:p>
    <w:p w:rsidR="3270BF6C" w:rsidP="66C8C8D7" w:rsidRDefault="3270BF6C" w14:paraId="2F858F0F" w14:textId="7358F7BC">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270BF6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Chikodinaka T. Duruaku</w:t>
      </w:r>
    </w:p>
    <w:p w:rsidR="3270BF6C" w:rsidP="66C8C8D7" w:rsidRDefault="3270BF6C" w14:paraId="5DF20E55" w14:textId="237FF88B">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270BF6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Sanford College of Education</w:t>
      </w:r>
    </w:p>
    <w:p w:rsidR="3270BF6C" w:rsidP="66C8C8D7" w:rsidRDefault="3270BF6C" w14:paraId="4F90CDE1" w14:textId="675B7148">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270BF6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ID 8900 V1: Foundations of Instructional Design</w:t>
      </w:r>
    </w:p>
    <w:p w:rsidR="3270BF6C" w:rsidP="66C8C8D7" w:rsidRDefault="3270BF6C" w14:paraId="32F175D4" w14:textId="50D64DA6">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270BF6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Dr. Jennifer Summerville</w:t>
      </w:r>
    </w:p>
    <w:p w:rsidR="3270BF6C" w:rsidP="66C8C8D7" w:rsidRDefault="3270BF6C" w14:paraId="34A82E5E" w14:textId="45A169E0">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270BF6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February 21, 2026</w:t>
      </w:r>
    </w:p>
    <w:p w:rsidR="66C8C8D7" w:rsidP="66C8C8D7" w:rsidRDefault="66C8C8D7" w14:paraId="0274FB37" w14:textId="5DCEED93">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08F61B40" w14:textId="5705F044">
      <w:pPr>
        <w:bidi w:val="0"/>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7EE7ACB4" w14:textId="20B27C17">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92D4128" w14:textId="22EB5085">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0D68618" w14:textId="1A4D6710">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5986D7F" w14:textId="7A010CA9">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43CCC330" w14:textId="060CEA9C">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866AE9A" w14:textId="491C2EC0">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AC96022" w14:textId="242E8041">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6820264" w14:textId="2B016B7C">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47728941" w14:textId="7E5A5958">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5A3A2A06" w14:textId="567536D7">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4EED0811" w14:textId="7CDF0F92">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DF1CDAB" w14:textId="2C3E9A9B">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3270BF6C" w:rsidP="66C8C8D7" w:rsidRDefault="3270BF6C" w14:paraId="4677EC0B" w14:textId="00AE7B91">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270BF6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According to (Zhou &amp; Ye, 2024), collaborative learning occurs when students team up to reach a shared goal, set objectives, assign roles, and plan tasks and outcomes together. What makes collaborative design highly functional is the chance to understand each other's struggles and strengths, helping to create a stable, more connected learning foundation. This process allows teams to observe and use their shared traits and differences, fostering a more inclusive, strength-based mindset that better supports diverse learners. Guo et al. (2023, as cited in Zhou and Ye 2024) add that cognitive engagement is necessary for achieving positive learning outcomes. </w:t>
      </w:r>
    </w:p>
    <w:p w:rsidR="3270BF6C" w:rsidP="66C8C8D7" w:rsidRDefault="3270BF6C" w14:paraId="00252C5F" w14:textId="31EF20D9">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270BF6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Collaborative instructional design is a process in which learners and instructors work together to produce materials that facilitate the achievement of set objectives. Dykstra (2020, as cited in Pollard and Kumar 2022b) notes that instructional designers use online study tools to assess the quality of courses and programs of study. In collaborative instruction design, diverse groups contribute ideas that help solve a problem or develop a tool for a specific purpose. Some opportunities and challenges are encountered in the process of collaborative instructional design.</w:t>
      </w:r>
    </w:p>
    <w:p w:rsidR="3270BF6C" w:rsidP="66C8C8D7" w:rsidRDefault="3270BF6C" w14:paraId="1FE94011" w14:textId="7D5AA31A">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270BF6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opportunities involve teachers collaborating to develop instructional activities and implementation plans, and to provide pedagogical teaching that incorporates interdisciplinary contexts, especially in STEM. Dow (2006, as cited in Ku et al. 2025) notes that STEM teachers, as instructional designers, provide instructional steps that align with concepts across disciplines. There are opportunities for communication and engagement as students carry out collaborative online tasks. Marnola et al. (2025) Add that digital learning uses online collaborative tools effectively. This means that digital learning thrives when it leverages online tools such as discussion boards, shared documents, and whiteboards to create interactive, dynamic spaces where students can acquire and share knowledge. </w:t>
      </w:r>
    </w:p>
    <w:p w:rsidR="3270BF6C" w:rsidP="66C8C8D7" w:rsidRDefault="3270BF6C" w14:paraId="32A231AD" w14:textId="26A6EB19">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270BF6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Some challenges instructional designers may face vary and can arise in both synchronous and asynchronous online environments. Marnola et al. (2025) Posit that learners may not achieve an optimal level of interaction with peers in an online asynchronous discussion unless activities that promote critical thinking are adopted. This requires the collaborative involvement of teachers, instructional designers, and subject-matter experts to develop materials that push students' thinking and help achieve positive learning outcomes. Chen and Carliner (2020, as cited in Pollard and Kumar 2022a) explain that instructional designers must be experts at fostering stable, functional relationships among peers.</w:t>
      </w:r>
    </w:p>
    <w:p w:rsidR="3270BF6C" w:rsidP="66C8C8D7" w:rsidRDefault="3270BF6C" w14:paraId="64A55891" w14:textId="13605312">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270BF6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r w:rsidRPr="66C8C8D7" w:rsidR="3270BF6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Opportunities and Challenges in Collaborative Instructional Design</w:t>
      </w:r>
    </w:p>
    <w:p w:rsidR="3270BF6C" w:rsidP="66C8C8D7" w:rsidRDefault="3270BF6C" w14:paraId="1074CF71" w14:textId="1711FEF3">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270BF6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Based on the online synchronous discussion with my instructor, the opportunities and challenges of collaborative instructional design are summarized in a table as follows:  </w:t>
      </w:r>
    </w:p>
    <w:p w:rsidR="3270BF6C" w:rsidP="66C8C8D7" w:rsidRDefault="3270BF6C" w14:paraId="4EEC8148" w14:textId="21C79CD3">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270BF6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Table 1</w:t>
      </w:r>
    </w:p>
    <w:p w:rsidR="3270BF6C" w:rsidP="66C8C8D7" w:rsidRDefault="3270BF6C" w14:paraId="609FE9CC" w14:textId="4B4BD640">
      <w:pPr>
        <w:bidi w:val="0"/>
        <w:spacing w:after="0" w:line="480" w:lineRule="auto"/>
        <w:ind w:right="214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270BF6C">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The Opportunities and Challenges of Collaborative Instructional Design</w:t>
      </w:r>
    </w:p>
    <w:tbl>
      <w:tblPr>
        <w:tblStyle w:val="TableGrid"/>
        <w:bidiVisual w:val="0"/>
        <w:tblW w:w="0" w:type="auto"/>
        <w:tblInd w:w="150" w:type="dxa"/>
        <w:tblBorders>
          <w:top w:val="single" w:sz="6"/>
          <w:left w:val="single" w:sz="6"/>
          <w:bottom w:val="single" w:sz="6"/>
          <w:right w:val="single" w:sz="6"/>
        </w:tblBorders>
        <w:tblLook w:val="04A0" w:firstRow="1" w:lastRow="0" w:firstColumn="1" w:lastColumn="0" w:noHBand="0" w:noVBand="1"/>
      </w:tblPr>
      <w:tblGrid>
        <w:gridCol w:w="3900"/>
        <w:gridCol w:w="3900"/>
      </w:tblGrid>
      <w:tr w:rsidR="66C8C8D7" w:rsidTr="66C8C8D7" w14:paraId="139337A5">
        <w:trPr>
          <w:trHeight w:val="720"/>
        </w:trPr>
        <w:tc>
          <w:tcPr>
            <w:tcW w:w="3900" w:type="dxa"/>
            <w:tcBorders>
              <w:top w:val="single" w:color="000000" w:themeColor="text1" w:sz="6"/>
              <w:left w:val="nil"/>
              <w:bottom w:val="single" w:color="000000" w:themeColor="text1" w:sz="6"/>
              <w:right w:val="nil"/>
            </w:tcBorders>
            <w:tcMar>
              <w:left w:w="75" w:type="dxa"/>
              <w:right w:w="75" w:type="dxa"/>
            </w:tcMar>
            <w:vAlign w:val="center"/>
          </w:tcPr>
          <w:p w:rsidR="66C8C8D7" w:rsidP="66C8C8D7" w:rsidRDefault="66C8C8D7" w14:paraId="00E7E301" w14:textId="64A512A1">
            <w:pPr>
              <w:bidi w:val="0"/>
              <w:spacing w:after="0" w:line="240" w:lineRule="auto"/>
              <w:ind w:left="100"/>
              <w:rPr>
                <w:rFonts w:ascii="Times New Roman" w:hAnsi="Times New Roman" w:eastAsia="Times New Roman" w:cs="Times New Roman"/>
                <w:b w:val="0"/>
                <w:bCs w:val="0"/>
                <w:i w:val="0"/>
                <w:iC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olor w:val="000000" w:themeColor="text1" w:themeTint="FF" w:themeShade="FF"/>
                <w:sz w:val="24"/>
                <w:szCs w:val="24"/>
                <w:lang w:val="en-US"/>
              </w:rPr>
              <w:t> </w:t>
            </w:r>
          </w:p>
          <w:p w:rsidR="66C8C8D7" w:rsidP="66C8C8D7" w:rsidRDefault="66C8C8D7" w14:paraId="3190D11A" w14:textId="2FC30618">
            <w:pPr>
              <w:bidi w:val="0"/>
              <w:spacing w:after="0" w:line="240" w:lineRule="auto"/>
              <w:ind w:left="100"/>
              <w:rPr>
                <w:rFonts w:ascii="Times New Roman" w:hAnsi="Times New Roman" w:eastAsia="Times New Roman" w:cs="Times New Roman"/>
                <w:b w:val="0"/>
                <w:bCs w:val="0"/>
                <w:i w:val="0"/>
                <w:iCs w:val="0"/>
                <w:color w:val="000000" w:themeColor="text1" w:themeTint="FF" w:themeShade="FF"/>
                <w:sz w:val="24"/>
                <w:szCs w:val="24"/>
              </w:rPr>
            </w:pPr>
            <w:r w:rsidRPr="66C8C8D7" w:rsidR="66C8C8D7">
              <w:rPr>
                <w:rFonts w:ascii="Times New Roman" w:hAnsi="Times New Roman" w:eastAsia="Times New Roman" w:cs="Times New Roman"/>
                <w:b w:val="1"/>
                <w:bCs w:val="1"/>
                <w:i w:val="0"/>
                <w:iCs w:val="0"/>
                <w:color w:val="000000" w:themeColor="text1" w:themeTint="FF" w:themeShade="FF"/>
                <w:sz w:val="24"/>
                <w:szCs w:val="24"/>
                <w:lang w:val="en-US"/>
              </w:rPr>
              <w:t>Opportunities</w:t>
            </w:r>
          </w:p>
          <w:p w:rsidR="66C8C8D7" w:rsidP="66C8C8D7" w:rsidRDefault="66C8C8D7" w14:paraId="3100CF32" w14:textId="288A9CC1">
            <w:pPr>
              <w:bidi w:val="0"/>
              <w:spacing w:after="0" w:line="240" w:lineRule="auto"/>
              <w:ind w:left="100"/>
              <w:rPr>
                <w:rFonts w:ascii="Times New Roman" w:hAnsi="Times New Roman" w:eastAsia="Times New Roman" w:cs="Times New Roman"/>
                <w:b w:val="0"/>
                <w:bCs w:val="0"/>
                <w:i w:val="0"/>
                <w:iC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olor w:val="000000" w:themeColor="text1" w:themeTint="FF" w:themeShade="FF"/>
                <w:sz w:val="24"/>
                <w:szCs w:val="24"/>
                <w:lang w:val="en-US"/>
              </w:rPr>
              <w:t> </w:t>
            </w:r>
          </w:p>
        </w:tc>
        <w:tc>
          <w:tcPr>
            <w:tcW w:w="3900" w:type="dxa"/>
            <w:tcBorders>
              <w:top w:val="single" w:color="000000" w:themeColor="text1" w:sz="6"/>
              <w:left w:val="nil"/>
              <w:bottom w:val="single" w:color="000000" w:themeColor="text1" w:sz="6"/>
              <w:right w:val="nil"/>
            </w:tcBorders>
            <w:tcMar>
              <w:left w:w="75" w:type="dxa"/>
              <w:right w:w="75" w:type="dxa"/>
            </w:tcMar>
            <w:vAlign w:val="center"/>
          </w:tcPr>
          <w:p w:rsidR="66C8C8D7" w:rsidP="66C8C8D7" w:rsidRDefault="66C8C8D7" w14:paraId="5CF371D2" w14:textId="6A78CE66">
            <w:pPr>
              <w:bidi w:val="0"/>
              <w:spacing w:after="0" w:line="480" w:lineRule="auto"/>
              <w:ind w:left="100"/>
              <w:rPr>
                <w:rFonts w:ascii="Times New Roman" w:hAnsi="Times New Roman" w:eastAsia="Times New Roman" w:cs="Times New Roman"/>
                <w:b w:val="0"/>
                <w:bCs w:val="0"/>
                <w:i w:val="0"/>
                <w:iCs w:val="0"/>
                <w:color w:val="000000" w:themeColor="text1" w:themeTint="FF" w:themeShade="FF"/>
                <w:sz w:val="24"/>
                <w:szCs w:val="24"/>
              </w:rPr>
            </w:pPr>
            <w:r w:rsidRPr="66C8C8D7" w:rsidR="66C8C8D7">
              <w:rPr>
                <w:rFonts w:ascii="Times New Roman" w:hAnsi="Times New Roman" w:eastAsia="Times New Roman" w:cs="Times New Roman"/>
                <w:b w:val="1"/>
                <w:bCs w:val="1"/>
                <w:i w:val="0"/>
                <w:iCs w:val="0"/>
                <w:color w:val="000000" w:themeColor="text1" w:themeTint="FF" w:themeShade="FF"/>
                <w:sz w:val="24"/>
                <w:szCs w:val="24"/>
                <w:lang w:val="en-US"/>
              </w:rPr>
              <w:t>Challenges</w:t>
            </w:r>
          </w:p>
        </w:tc>
      </w:tr>
      <w:tr w:rsidR="66C8C8D7" w:rsidTr="66C8C8D7" w14:paraId="20B75312">
        <w:trPr>
          <w:trHeight w:val="2880"/>
        </w:trPr>
        <w:tc>
          <w:tcPr>
            <w:tcW w:w="3900" w:type="dxa"/>
            <w:tcBorders>
              <w:top w:val="single" w:color="000000" w:themeColor="text1" w:sz="6"/>
              <w:left w:val="nil"/>
              <w:bottom w:val="nil"/>
              <w:right w:val="nil"/>
            </w:tcBorders>
            <w:tcMar>
              <w:left w:w="75" w:type="dxa"/>
              <w:right w:w="75" w:type="dxa"/>
            </w:tcMar>
            <w:vAlign w:val="center"/>
          </w:tcPr>
          <w:p w:rsidR="66C8C8D7" w:rsidP="66C8C8D7" w:rsidRDefault="66C8C8D7" w14:paraId="31710A1F" w14:textId="47CAE956">
            <w:pPr>
              <w:bidi w:val="0"/>
              <w:spacing w:after="0" w:line="480" w:lineRule="auto"/>
              <w:ind w:left="100"/>
              <w:rPr>
                <w:rFonts w:ascii="Times New Roman" w:hAnsi="Times New Roman" w:eastAsia="Times New Roman" w:cs="Times New Roman"/>
                <w:b w:val="0"/>
                <w:bCs w:val="0"/>
                <w:i w:val="0"/>
                <w:iC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olor w:val="000000" w:themeColor="text1" w:themeTint="FF" w:themeShade="FF"/>
                <w:sz w:val="24"/>
                <w:szCs w:val="24"/>
                <w:lang w:val="en-US"/>
              </w:rPr>
              <w:t> </w:t>
            </w:r>
          </w:p>
          <w:p w:rsidR="66C8C8D7" w:rsidP="66C8C8D7" w:rsidRDefault="66C8C8D7" w14:paraId="074EFEAA" w14:textId="3A6BC2B8">
            <w:pPr>
              <w:bidi w:val="0"/>
              <w:spacing w:after="0" w:line="480" w:lineRule="auto"/>
              <w:ind w:left="100"/>
              <w:rPr>
                <w:rFonts w:ascii="Times New Roman" w:hAnsi="Times New Roman" w:eastAsia="Times New Roman" w:cs="Times New Roman"/>
                <w:b w:val="0"/>
                <w:bCs w:val="0"/>
                <w:i w:val="0"/>
                <w:iC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olor w:val="000000" w:themeColor="text1" w:themeTint="FF" w:themeShade="FF"/>
                <w:sz w:val="24"/>
                <w:szCs w:val="24"/>
                <w:lang w:val="en-US"/>
              </w:rPr>
              <w:t>1. Every instructional designer should have experience in project management</w:t>
            </w:r>
          </w:p>
          <w:p w:rsidR="66C8C8D7" w:rsidP="66C8C8D7" w:rsidRDefault="66C8C8D7" w14:paraId="77203FCE" w14:textId="488F326A">
            <w:pPr>
              <w:bidi w:val="0"/>
              <w:spacing w:after="0" w:line="480" w:lineRule="auto"/>
              <w:ind w:left="100"/>
              <w:rPr>
                <w:rFonts w:ascii="Times New Roman" w:hAnsi="Times New Roman" w:eastAsia="Times New Roman" w:cs="Times New Roman"/>
                <w:b w:val="0"/>
                <w:bCs w:val="0"/>
                <w:i w:val="0"/>
                <w:iC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olor w:val="000000" w:themeColor="text1" w:themeTint="FF" w:themeShade="FF"/>
                <w:sz w:val="24"/>
                <w:szCs w:val="24"/>
                <w:lang w:val="en-US"/>
              </w:rPr>
              <w:t> </w:t>
            </w:r>
          </w:p>
        </w:tc>
        <w:tc>
          <w:tcPr>
            <w:tcW w:w="3900" w:type="dxa"/>
            <w:tcBorders>
              <w:top w:val="single" w:color="000000" w:themeColor="text1" w:sz="6"/>
              <w:left w:val="nil"/>
              <w:bottom w:val="nil"/>
              <w:right w:val="nil"/>
            </w:tcBorders>
            <w:tcMar>
              <w:left w:w="75" w:type="dxa"/>
              <w:right w:w="75" w:type="dxa"/>
            </w:tcMar>
            <w:vAlign w:val="center"/>
          </w:tcPr>
          <w:p w:rsidR="66C8C8D7" w:rsidP="66C8C8D7" w:rsidRDefault="66C8C8D7" w14:paraId="3B91AC11" w14:textId="168CC1A0">
            <w:pPr>
              <w:bidi w:val="0"/>
              <w:spacing w:after="0" w:line="480" w:lineRule="auto"/>
              <w:ind w:left="100"/>
              <w:rPr>
                <w:rFonts w:ascii="Times New Roman" w:hAnsi="Times New Roman" w:eastAsia="Times New Roman" w:cs="Times New Roman"/>
                <w:b w:val="0"/>
                <w:bCs w:val="0"/>
                <w:i w:val="0"/>
                <w:iC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olor w:val="000000" w:themeColor="text1" w:themeTint="FF" w:themeShade="FF"/>
                <w:sz w:val="24"/>
                <w:szCs w:val="24"/>
                <w:lang w:val="en-US"/>
              </w:rPr>
              <w:t> </w:t>
            </w:r>
          </w:p>
          <w:p w:rsidR="66C8C8D7" w:rsidP="66C8C8D7" w:rsidRDefault="66C8C8D7" w14:paraId="60AD6D5F" w14:textId="25BE0985">
            <w:pPr>
              <w:bidi w:val="0"/>
              <w:spacing w:after="0" w:line="480" w:lineRule="auto"/>
              <w:ind w:left="100"/>
              <w:rPr>
                <w:rFonts w:ascii="Times New Roman" w:hAnsi="Times New Roman" w:eastAsia="Times New Roman" w:cs="Times New Roman"/>
                <w:b w:val="0"/>
                <w:bCs w:val="0"/>
                <w:i w:val="0"/>
                <w:iC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olor w:val="000000" w:themeColor="text1" w:themeTint="FF" w:themeShade="FF"/>
                <w:sz w:val="24"/>
                <w:szCs w:val="24"/>
                <w:lang w:val="en-US"/>
              </w:rPr>
              <w:t>At the time, the program ID 8900 was designed in 2024, and everything was working except for a problem with rubrics and broken links</w:t>
            </w:r>
          </w:p>
        </w:tc>
      </w:tr>
    </w:tbl>
    <w:p w:rsidR="66C8C8D7" w:rsidP="66C8C8D7" w:rsidRDefault="66C8C8D7" w14:paraId="73783360" w14:textId="2634D31D">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tbl>
      <w:tblPr>
        <w:tblStyle w:val="TableGrid"/>
        <w:bidiVisual w:val="0"/>
        <w:tblW w:w="0" w:type="auto"/>
        <w:tblInd w:w="150" w:type="dxa"/>
        <w:tblBorders>
          <w:top w:val="single" w:sz="6"/>
          <w:left w:val="single" w:sz="6"/>
          <w:bottom w:val="single" w:sz="6"/>
          <w:right w:val="single" w:sz="6"/>
        </w:tblBorders>
        <w:tblLook w:val="04A0" w:firstRow="1" w:lastRow="0" w:firstColumn="1" w:lastColumn="0" w:noHBand="0" w:noVBand="1"/>
      </w:tblPr>
      <w:tblGrid>
        <w:gridCol w:w="3900"/>
        <w:gridCol w:w="3900"/>
      </w:tblGrid>
      <w:tr w:rsidR="66C8C8D7" w:rsidTr="66C8C8D7" w14:paraId="67CEE934">
        <w:trPr>
          <w:trHeight w:val="4320"/>
        </w:trPr>
        <w:tc>
          <w:tcPr>
            <w:tcW w:w="3900" w:type="dxa"/>
            <w:tcBorders>
              <w:top w:val="nil"/>
              <w:left w:val="nil"/>
              <w:bottom w:val="nil"/>
              <w:right w:val="nil"/>
            </w:tcBorders>
            <w:tcMar>
              <w:left w:w="75" w:type="dxa"/>
              <w:right w:w="75" w:type="dxa"/>
            </w:tcMar>
            <w:vAlign w:val="center"/>
          </w:tcPr>
          <w:p w:rsidR="66C8C8D7" w:rsidP="66C8C8D7" w:rsidRDefault="66C8C8D7" w14:paraId="6F76107E" w14:textId="52C4AFF8">
            <w:pPr>
              <w:bidi w:val="0"/>
              <w:spacing w:after="0" w:line="480" w:lineRule="auto"/>
              <w:ind w:left="100"/>
              <w:rPr>
                <w:rFonts w:ascii="Times New Roman" w:hAnsi="Times New Roman" w:eastAsia="Times New Roman" w:cs="Times New Roman"/>
                <w:b w:val="0"/>
                <w:bCs w:val="0"/>
                <w:i w:val="0"/>
                <w:iCs w:val="0"/>
                <w:caps w:val="0"/>
                <w:smallCap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aps w:val="0"/>
                <w:smallCaps w:val="0"/>
                <w:color w:val="000000" w:themeColor="text1" w:themeTint="FF" w:themeShade="FF"/>
                <w:sz w:val="24"/>
                <w:szCs w:val="24"/>
                <w:lang w:val="en-US"/>
              </w:rPr>
              <w:t> </w:t>
            </w:r>
          </w:p>
          <w:p w:rsidR="66C8C8D7" w:rsidP="66C8C8D7" w:rsidRDefault="66C8C8D7" w14:paraId="577E1F21" w14:textId="463C439D">
            <w:pPr>
              <w:bidi w:val="0"/>
              <w:spacing w:after="0" w:line="480" w:lineRule="auto"/>
              <w:ind w:left="100"/>
              <w:rPr>
                <w:rFonts w:ascii="Times New Roman" w:hAnsi="Times New Roman" w:eastAsia="Times New Roman" w:cs="Times New Roman"/>
                <w:b w:val="0"/>
                <w:bCs w:val="0"/>
                <w:i w:val="0"/>
                <w:iCs w:val="0"/>
                <w:caps w:val="0"/>
                <w:smallCap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aps w:val="0"/>
                <w:smallCaps w:val="0"/>
                <w:color w:val="000000" w:themeColor="text1" w:themeTint="FF" w:themeShade="FF"/>
                <w:sz w:val="24"/>
                <w:szCs w:val="24"/>
                <w:lang w:val="en-US"/>
              </w:rPr>
              <w:t>2. Successful instructional designers are constantly talking to faculty and other people outside of instructional design to get their feedback and other perspectives for personal development</w:t>
            </w:r>
          </w:p>
        </w:tc>
        <w:tc>
          <w:tcPr>
            <w:tcW w:w="3900" w:type="dxa"/>
            <w:tcBorders>
              <w:top w:val="nil"/>
              <w:left w:val="nil"/>
              <w:bottom w:val="nil"/>
              <w:right w:val="nil"/>
            </w:tcBorders>
            <w:tcMar>
              <w:left w:w="75" w:type="dxa"/>
              <w:right w:w="75" w:type="dxa"/>
            </w:tcMar>
            <w:vAlign w:val="center"/>
          </w:tcPr>
          <w:p w:rsidR="66C8C8D7" w:rsidP="66C8C8D7" w:rsidRDefault="66C8C8D7" w14:paraId="45B32656" w14:textId="6F4E0443">
            <w:pPr>
              <w:bidi w:val="0"/>
              <w:spacing w:after="0" w:line="480" w:lineRule="auto"/>
              <w:ind w:left="100"/>
              <w:rPr>
                <w:rFonts w:ascii="Times New Roman" w:hAnsi="Times New Roman" w:eastAsia="Times New Roman" w:cs="Times New Roman"/>
                <w:b w:val="0"/>
                <w:bCs w:val="0"/>
                <w:i w:val="0"/>
                <w:iCs w:val="0"/>
                <w:caps w:val="0"/>
                <w:smallCap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aps w:val="0"/>
                <w:smallCaps w:val="0"/>
                <w:color w:val="000000" w:themeColor="text1" w:themeTint="FF" w:themeShade="FF"/>
                <w:sz w:val="24"/>
                <w:szCs w:val="24"/>
                <w:lang w:val="en-US"/>
              </w:rPr>
              <w:t> </w:t>
            </w:r>
          </w:p>
          <w:p w:rsidR="66C8C8D7" w:rsidP="66C8C8D7" w:rsidRDefault="66C8C8D7" w14:paraId="56B54FBA" w14:textId="1A7BB9C3">
            <w:pPr>
              <w:bidi w:val="0"/>
              <w:spacing w:after="0" w:line="480" w:lineRule="auto"/>
              <w:ind w:left="100"/>
              <w:rPr>
                <w:rFonts w:ascii="Times New Roman" w:hAnsi="Times New Roman" w:eastAsia="Times New Roman" w:cs="Times New Roman"/>
                <w:b w:val="0"/>
                <w:bCs w:val="0"/>
                <w:i w:val="0"/>
                <w:iCs w:val="0"/>
                <w:caps w:val="0"/>
                <w:smallCap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aps w:val="0"/>
                <w:smallCaps w:val="0"/>
                <w:color w:val="000000" w:themeColor="text1" w:themeTint="FF" w:themeShade="FF"/>
                <w:sz w:val="24"/>
                <w:szCs w:val="24"/>
                <w:lang w:val="en-US"/>
              </w:rPr>
              <w:t>AI is still growing and can be unstable. Students often need more AI. The issue with AI lies in the separate Learning Management Systems available. For example, there are NU faculty who teach on-ground classes and those who teach online.</w:t>
            </w:r>
          </w:p>
        </w:tc>
      </w:tr>
      <w:tr w:rsidR="66C8C8D7" w:rsidTr="66C8C8D7" w14:paraId="59F46AF1">
        <w:trPr>
          <w:trHeight w:val="3825"/>
        </w:trPr>
        <w:tc>
          <w:tcPr>
            <w:tcW w:w="3900" w:type="dxa"/>
            <w:tcBorders>
              <w:top w:val="nil"/>
              <w:left w:val="nil"/>
              <w:bottom w:val="nil"/>
              <w:right w:val="nil"/>
            </w:tcBorders>
            <w:tcMar>
              <w:left w:w="75" w:type="dxa"/>
              <w:right w:w="75" w:type="dxa"/>
            </w:tcMar>
            <w:vAlign w:val="center"/>
          </w:tcPr>
          <w:p w:rsidR="66C8C8D7" w:rsidP="66C8C8D7" w:rsidRDefault="66C8C8D7" w14:paraId="1719F0E8" w14:textId="12158B6B">
            <w:pPr>
              <w:bidi w:val="0"/>
              <w:spacing w:after="0" w:line="480" w:lineRule="auto"/>
              <w:ind w:left="100"/>
              <w:rPr>
                <w:rFonts w:ascii="Times New Roman" w:hAnsi="Times New Roman" w:eastAsia="Times New Roman" w:cs="Times New Roman"/>
                <w:b w:val="0"/>
                <w:bCs w:val="0"/>
                <w:i w:val="0"/>
                <w:iCs w:val="0"/>
                <w:caps w:val="0"/>
                <w:smallCap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aps w:val="0"/>
                <w:smallCaps w:val="0"/>
                <w:color w:val="000000" w:themeColor="text1" w:themeTint="FF" w:themeShade="FF"/>
                <w:sz w:val="24"/>
                <w:szCs w:val="24"/>
                <w:lang w:val="en-US"/>
              </w:rPr>
              <w:t> </w:t>
            </w:r>
          </w:p>
          <w:p w:rsidR="66C8C8D7" w:rsidP="66C8C8D7" w:rsidRDefault="66C8C8D7" w14:paraId="7AED0A43" w14:textId="21B4F67C">
            <w:pPr>
              <w:bidi w:val="0"/>
              <w:spacing w:after="0" w:line="480" w:lineRule="auto"/>
              <w:ind w:left="100"/>
              <w:rPr>
                <w:rFonts w:ascii="Times New Roman" w:hAnsi="Times New Roman" w:eastAsia="Times New Roman" w:cs="Times New Roman"/>
                <w:b w:val="0"/>
                <w:bCs w:val="0"/>
                <w:i w:val="0"/>
                <w:iCs w:val="0"/>
                <w:caps w:val="0"/>
                <w:smallCap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aps w:val="0"/>
                <w:smallCaps w:val="0"/>
                <w:color w:val="000000" w:themeColor="text1" w:themeTint="FF" w:themeShade="FF"/>
                <w:sz w:val="24"/>
                <w:szCs w:val="24"/>
                <w:lang w:val="en-US"/>
              </w:rPr>
              <w:t>3. Instructional design is a course that provides learners with opportunities to acquire knowledge and apply it</w:t>
            </w:r>
          </w:p>
        </w:tc>
        <w:tc>
          <w:tcPr>
            <w:tcW w:w="3900" w:type="dxa"/>
            <w:tcBorders>
              <w:top w:val="nil"/>
              <w:left w:val="nil"/>
              <w:bottom w:val="nil"/>
              <w:right w:val="nil"/>
            </w:tcBorders>
            <w:tcMar>
              <w:left w:w="75" w:type="dxa"/>
              <w:right w:w="75" w:type="dxa"/>
            </w:tcMar>
            <w:vAlign w:val="center"/>
          </w:tcPr>
          <w:p w:rsidR="66C8C8D7" w:rsidP="66C8C8D7" w:rsidRDefault="66C8C8D7" w14:paraId="1B980030" w14:textId="239953F2">
            <w:pPr>
              <w:bidi w:val="0"/>
              <w:spacing w:after="0" w:line="480" w:lineRule="auto"/>
              <w:ind w:left="100"/>
              <w:rPr>
                <w:rFonts w:ascii="Times New Roman" w:hAnsi="Times New Roman" w:eastAsia="Times New Roman" w:cs="Times New Roman"/>
                <w:b w:val="0"/>
                <w:bCs w:val="0"/>
                <w:i w:val="0"/>
                <w:iCs w:val="0"/>
                <w:caps w:val="0"/>
                <w:smallCap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aps w:val="0"/>
                <w:smallCaps w:val="0"/>
                <w:color w:val="000000" w:themeColor="text1" w:themeTint="FF" w:themeShade="FF"/>
                <w:sz w:val="24"/>
                <w:szCs w:val="24"/>
                <w:lang w:val="en-US"/>
              </w:rPr>
              <w:t> </w:t>
            </w:r>
          </w:p>
          <w:p w:rsidR="66C8C8D7" w:rsidP="66C8C8D7" w:rsidRDefault="66C8C8D7" w14:paraId="40FF82A1" w14:textId="5B13016D">
            <w:pPr>
              <w:bidi w:val="0"/>
              <w:spacing w:after="0" w:line="480" w:lineRule="auto"/>
              <w:ind w:left="100"/>
              <w:rPr>
                <w:rFonts w:ascii="Times New Roman" w:hAnsi="Times New Roman" w:eastAsia="Times New Roman" w:cs="Times New Roman"/>
                <w:b w:val="0"/>
                <w:bCs w:val="0"/>
                <w:i w:val="0"/>
                <w:iCs w:val="0"/>
                <w:caps w:val="0"/>
                <w:smallCap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aps w:val="0"/>
                <w:smallCaps w:val="0"/>
                <w:color w:val="000000" w:themeColor="text1" w:themeTint="FF" w:themeShade="FF"/>
                <w:sz w:val="24"/>
                <w:szCs w:val="24"/>
                <w:lang w:val="en-US"/>
              </w:rPr>
              <w:t>Although there are diverse groups of people whose doors are open to them for collaboration in instructional design, instructional designers cannot come in and tell teachers how to teach. That’s the door that is closed</w:t>
            </w:r>
          </w:p>
        </w:tc>
      </w:tr>
      <w:tr w:rsidR="66C8C8D7" w:rsidTr="66C8C8D7" w14:paraId="2EFA1028">
        <w:trPr>
          <w:trHeight w:val="5040"/>
        </w:trPr>
        <w:tc>
          <w:tcPr>
            <w:tcW w:w="3900" w:type="dxa"/>
            <w:tcBorders>
              <w:top w:val="nil"/>
              <w:left w:val="nil"/>
              <w:bottom w:val="nil"/>
              <w:right w:val="nil"/>
            </w:tcBorders>
            <w:tcMar>
              <w:left w:w="75" w:type="dxa"/>
              <w:right w:w="75" w:type="dxa"/>
            </w:tcMar>
            <w:vAlign w:val="center"/>
          </w:tcPr>
          <w:p w:rsidR="66C8C8D7" w:rsidP="66C8C8D7" w:rsidRDefault="66C8C8D7" w14:paraId="3D58A10E" w14:textId="786A59B6">
            <w:pPr>
              <w:bidi w:val="0"/>
              <w:spacing w:after="0" w:line="480" w:lineRule="auto"/>
              <w:ind w:left="100"/>
              <w:rPr>
                <w:rFonts w:ascii="Times New Roman" w:hAnsi="Times New Roman" w:eastAsia="Times New Roman" w:cs="Times New Roman"/>
                <w:b w:val="0"/>
                <w:bCs w:val="0"/>
                <w:i w:val="0"/>
                <w:iCs w:val="0"/>
                <w:caps w:val="0"/>
                <w:smallCap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aps w:val="0"/>
                <w:smallCaps w:val="0"/>
                <w:color w:val="000000" w:themeColor="text1" w:themeTint="FF" w:themeShade="FF"/>
                <w:sz w:val="24"/>
                <w:szCs w:val="24"/>
                <w:lang w:val="en-US"/>
              </w:rPr>
              <w:t> </w:t>
            </w:r>
          </w:p>
          <w:p w:rsidR="66C8C8D7" w:rsidP="66C8C8D7" w:rsidRDefault="66C8C8D7" w14:paraId="7A9B5B70" w14:textId="1289E486">
            <w:pPr>
              <w:bidi w:val="0"/>
              <w:spacing w:after="0" w:line="480" w:lineRule="auto"/>
              <w:ind w:left="100"/>
              <w:rPr>
                <w:rFonts w:ascii="Times New Roman" w:hAnsi="Times New Roman" w:eastAsia="Times New Roman" w:cs="Times New Roman"/>
                <w:b w:val="0"/>
                <w:bCs w:val="0"/>
                <w:i w:val="0"/>
                <w:iCs w:val="0"/>
                <w:caps w:val="0"/>
                <w:smallCap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aps w:val="0"/>
                <w:smallCaps w:val="0"/>
                <w:color w:val="000000" w:themeColor="text1" w:themeTint="FF" w:themeShade="FF"/>
                <w:sz w:val="24"/>
                <w:szCs w:val="24"/>
                <w:lang w:val="en-US"/>
              </w:rPr>
              <w:t>4. Getting broad perspectives by working with people from diverse countries, including students and faculty. This move has to come from leadership. Leadership has to have an open door to be receptive to ideas from diverse groups of people</w:t>
            </w:r>
          </w:p>
        </w:tc>
        <w:tc>
          <w:tcPr>
            <w:tcW w:w="3900" w:type="dxa"/>
            <w:tcBorders>
              <w:top w:val="nil"/>
              <w:left w:val="nil"/>
              <w:bottom w:val="nil"/>
              <w:right w:val="nil"/>
            </w:tcBorders>
            <w:tcMar>
              <w:left w:w="75" w:type="dxa"/>
              <w:right w:w="75" w:type="dxa"/>
            </w:tcMar>
            <w:vAlign w:val="center"/>
          </w:tcPr>
          <w:p w:rsidR="66C8C8D7" w:rsidP="66C8C8D7" w:rsidRDefault="66C8C8D7" w14:paraId="2753C434" w14:textId="653ED26A">
            <w:pPr>
              <w:bidi w:val="0"/>
              <w:spacing w:after="0" w:line="480" w:lineRule="auto"/>
              <w:ind w:left="100"/>
              <w:rPr>
                <w:rFonts w:ascii="Times New Roman" w:hAnsi="Times New Roman" w:eastAsia="Times New Roman" w:cs="Times New Roman"/>
                <w:b w:val="0"/>
                <w:bCs w:val="0"/>
                <w:i w:val="0"/>
                <w:iCs w:val="0"/>
                <w:caps w:val="0"/>
                <w:smallCap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aps w:val="0"/>
                <w:smallCaps w:val="0"/>
                <w:color w:val="000000" w:themeColor="text1" w:themeTint="FF" w:themeShade="FF"/>
                <w:sz w:val="24"/>
                <w:szCs w:val="24"/>
                <w:lang w:val="en-US"/>
              </w:rPr>
              <w:t> </w:t>
            </w:r>
          </w:p>
          <w:p w:rsidR="66C8C8D7" w:rsidP="66C8C8D7" w:rsidRDefault="66C8C8D7" w14:paraId="3FBF0523" w14:textId="25A55665">
            <w:pPr>
              <w:bidi w:val="0"/>
              <w:spacing w:after="0" w:line="480" w:lineRule="auto"/>
              <w:ind w:left="100"/>
              <w:rPr>
                <w:rFonts w:ascii="Times New Roman" w:hAnsi="Times New Roman" w:eastAsia="Times New Roman" w:cs="Times New Roman"/>
                <w:b w:val="0"/>
                <w:bCs w:val="0"/>
                <w:i w:val="0"/>
                <w:iCs w:val="0"/>
                <w:caps w:val="0"/>
                <w:smallCap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aps w:val="0"/>
                <w:smallCaps w:val="0"/>
                <w:color w:val="000000" w:themeColor="text1" w:themeTint="FF" w:themeShade="FF"/>
                <w:sz w:val="24"/>
                <w:szCs w:val="24"/>
                <w:lang w:val="en-US"/>
              </w:rPr>
              <w:t>Building a diverse team (instructional designers, coordinators, K-12 teachers, part-timers) and having to carry out other duties was a struggle, but utilizing job diversity was necessary</w:t>
            </w:r>
          </w:p>
        </w:tc>
      </w:tr>
      <w:tr w:rsidR="66C8C8D7" w:rsidTr="66C8C8D7" w14:paraId="515BCC2C">
        <w:trPr>
          <w:trHeight w:val="3825"/>
        </w:trPr>
        <w:tc>
          <w:tcPr>
            <w:tcW w:w="3900" w:type="dxa"/>
            <w:tcBorders>
              <w:top w:val="nil"/>
              <w:left w:val="nil"/>
              <w:bottom w:val="nil"/>
              <w:right w:val="nil"/>
            </w:tcBorders>
            <w:tcMar>
              <w:left w:w="75" w:type="dxa"/>
              <w:right w:w="75" w:type="dxa"/>
            </w:tcMar>
            <w:vAlign w:val="center"/>
          </w:tcPr>
          <w:p w:rsidR="66C8C8D7" w:rsidP="66C8C8D7" w:rsidRDefault="66C8C8D7" w14:paraId="51033961" w14:textId="6893E9CE">
            <w:pPr>
              <w:bidi w:val="0"/>
              <w:spacing w:after="0" w:line="480" w:lineRule="auto"/>
              <w:ind w:left="0"/>
              <w:rPr>
                <w:rFonts w:ascii="Times New Roman" w:hAnsi="Times New Roman" w:eastAsia="Times New Roman" w:cs="Times New Roman"/>
                <w:b w:val="0"/>
                <w:bCs w:val="0"/>
                <w:i w:val="0"/>
                <w:iCs w:val="0"/>
                <w:caps w:val="0"/>
                <w:smallCaps w:val="0"/>
                <w:color w:val="000000" w:themeColor="text1" w:themeTint="FF" w:themeShade="FF"/>
                <w:sz w:val="24"/>
                <w:szCs w:val="24"/>
              </w:rPr>
            </w:pPr>
          </w:p>
          <w:p w:rsidR="66C8C8D7" w:rsidP="66C8C8D7" w:rsidRDefault="66C8C8D7" w14:paraId="53A2EE0B" w14:textId="379978C1">
            <w:pPr>
              <w:bidi w:val="0"/>
              <w:spacing w:after="0" w:line="480" w:lineRule="auto"/>
              <w:ind w:left="100"/>
              <w:rPr>
                <w:rFonts w:ascii="Times New Roman" w:hAnsi="Times New Roman" w:eastAsia="Times New Roman" w:cs="Times New Roman"/>
                <w:b w:val="0"/>
                <w:bCs w:val="0"/>
                <w:i w:val="0"/>
                <w:iCs w:val="0"/>
                <w:caps w:val="0"/>
                <w:smallCap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aps w:val="0"/>
                <w:smallCaps w:val="0"/>
                <w:color w:val="000000" w:themeColor="text1" w:themeTint="FF" w:themeShade="FF"/>
                <w:sz w:val="24"/>
                <w:szCs w:val="24"/>
                <w:lang w:val="en-US"/>
              </w:rPr>
              <w:t>5. Utilizing Basecamp, a project management online tool. This was used at the same time that ID 8900 and ID 8910 courses were developed</w:t>
            </w:r>
          </w:p>
        </w:tc>
        <w:tc>
          <w:tcPr>
            <w:tcW w:w="3900" w:type="dxa"/>
            <w:tcBorders>
              <w:top w:val="nil"/>
              <w:left w:val="nil"/>
              <w:bottom w:val="nil"/>
              <w:right w:val="nil"/>
            </w:tcBorders>
            <w:tcMar>
              <w:left w:w="75" w:type="dxa"/>
              <w:right w:w="75" w:type="dxa"/>
            </w:tcMar>
            <w:vAlign w:val="center"/>
          </w:tcPr>
          <w:p w:rsidR="66C8C8D7" w:rsidP="66C8C8D7" w:rsidRDefault="66C8C8D7" w14:paraId="1AE7194E" w14:textId="41B29AF9">
            <w:pPr>
              <w:bidi w:val="0"/>
              <w:spacing w:after="0" w:line="480" w:lineRule="auto"/>
              <w:ind w:left="100"/>
              <w:rPr>
                <w:rFonts w:ascii="Times New Roman" w:hAnsi="Times New Roman" w:eastAsia="Times New Roman" w:cs="Times New Roman"/>
                <w:b w:val="0"/>
                <w:bCs w:val="0"/>
                <w:i w:val="0"/>
                <w:iCs w:val="0"/>
                <w:caps w:val="0"/>
                <w:smallCap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aps w:val="0"/>
                <w:smallCaps w:val="0"/>
                <w:color w:val="000000" w:themeColor="text1" w:themeTint="FF" w:themeShade="FF"/>
                <w:sz w:val="24"/>
                <w:szCs w:val="24"/>
                <w:lang w:val="en-US"/>
              </w:rPr>
              <w:t> </w:t>
            </w:r>
          </w:p>
          <w:p w:rsidR="66C8C8D7" w:rsidP="66C8C8D7" w:rsidRDefault="66C8C8D7" w14:paraId="6343E047" w14:textId="6424D129">
            <w:pPr>
              <w:bidi w:val="0"/>
              <w:spacing w:after="0" w:line="480" w:lineRule="auto"/>
              <w:ind w:left="100"/>
              <w:rPr>
                <w:rFonts w:ascii="Times New Roman" w:hAnsi="Times New Roman" w:eastAsia="Times New Roman" w:cs="Times New Roman"/>
                <w:b w:val="0"/>
                <w:bCs w:val="0"/>
                <w:i w:val="0"/>
                <w:iCs w:val="0"/>
                <w:caps w:val="0"/>
                <w:smallCap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aps w:val="0"/>
                <w:smallCaps w:val="0"/>
                <w:color w:val="000000" w:themeColor="text1" w:themeTint="FF" w:themeShade="FF"/>
                <w:sz w:val="24"/>
                <w:szCs w:val="24"/>
                <w:lang w:val="en-US"/>
              </w:rPr>
              <w:t>There could be a possible loss of documents and fixing of broken links, which are struggles with using Basecamp. The master of the course is updated by one person, who is in charge of fixing broken links for every program</w:t>
            </w:r>
          </w:p>
        </w:tc>
      </w:tr>
    </w:tbl>
    <w:p w:rsidR="66C8C8D7" w:rsidP="66C8C8D7" w:rsidRDefault="66C8C8D7" w14:paraId="097742D3" w14:textId="30D48F87">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598F03AA" w14:textId="18944D90">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11358D2" w14:textId="59EE4103">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420DFCC" w14:textId="1FB45B55">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755DCAF" w14:textId="38AFE6C1">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tbl>
      <w:tblPr>
        <w:tblStyle w:val="TableGrid"/>
        <w:bidiVisual w:val="0"/>
        <w:tblW w:w="0" w:type="auto"/>
        <w:tblInd w:w="150" w:type="dxa"/>
        <w:tblBorders>
          <w:top w:val="single" w:sz="6"/>
          <w:left w:val="single" w:sz="6"/>
          <w:bottom w:val="single" w:sz="6"/>
          <w:right w:val="single" w:sz="6"/>
        </w:tblBorders>
        <w:tblLook w:val="04A0" w:firstRow="1" w:lastRow="0" w:firstColumn="1" w:lastColumn="0" w:noHBand="0" w:noVBand="1"/>
      </w:tblPr>
      <w:tblGrid>
        <w:gridCol w:w="3900"/>
        <w:gridCol w:w="3900"/>
      </w:tblGrid>
      <w:tr w:rsidR="66C8C8D7" w:rsidTr="66C8C8D7" w14:paraId="6B6CFB0B">
        <w:trPr>
          <w:trHeight w:val="7200"/>
        </w:trPr>
        <w:tc>
          <w:tcPr>
            <w:tcW w:w="3900" w:type="dxa"/>
            <w:tcBorders>
              <w:top w:val="nil"/>
              <w:left w:val="nil"/>
              <w:bottom w:val="nil"/>
              <w:right w:val="nil"/>
            </w:tcBorders>
            <w:tcMar>
              <w:left w:w="75" w:type="dxa"/>
              <w:right w:w="75" w:type="dxa"/>
            </w:tcMar>
            <w:vAlign w:val="center"/>
          </w:tcPr>
          <w:p w:rsidR="66C8C8D7" w:rsidP="66C8C8D7" w:rsidRDefault="66C8C8D7" w14:paraId="53B2F5CA" w14:textId="7E054380">
            <w:pPr>
              <w:bidi w:val="0"/>
              <w:spacing w:after="0" w:line="480" w:lineRule="auto"/>
              <w:ind w:left="100"/>
              <w:rPr>
                <w:rFonts w:ascii="Times New Roman" w:hAnsi="Times New Roman" w:eastAsia="Times New Roman" w:cs="Times New Roman"/>
                <w:b w:val="0"/>
                <w:bCs w:val="0"/>
                <w:i w:val="0"/>
                <w:iCs w:val="0"/>
                <w:caps w:val="0"/>
                <w:smallCap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aps w:val="0"/>
                <w:smallCaps w:val="0"/>
                <w:color w:val="000000" w:themeColor="text1" w:themeTint="FF" w:themeShade="FF"/>
                <w:sz w:val="24"/>
                <w:szCs w:val="24"/>
                <w:lang w:val="en-US"/>
              </w:rPr>
              <w:t> </w:t>
            </w:r>
          </w:p>
          <w:p w:rsidR="66C8C8D7" w:rsidP="66C8C8D7" w:rsidRDefault="66C8C8D7" w14:paraId="706D09BF" w14:textId="75608AA7">
            <w:pPr>
              <w:bidi w:val="0"/>
              <w:spacing w:after="0" w:line="480" w:lineRule="auto"/>
              <w:ind w:left="100"/>
              <w:rPr>
                <w:rFonts w:ascii="Times New Roman" w:hAnsi="Times New Roman" w:eastAsia="Times New Roman" w:cs="Times New Roman"/>
                <w:b w:val="0"/>
                <w:bCs w:val="0"/>
                <w:i w:val="0"/>
                <w:iCs w:val="0"/>
                <w:caps w:val="0"/>
                <w:smallCap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aps w:val="0"/>
                <w:smallCaps w:val="0"/>
                <w:color w:val="000000" w:themeColor="text1" w:themeTint="FF" w:themeShade="FF"/>
                <w:sz w:val="24"/>
                <w:szCs w:val="24"/>
                <w:lang w:val="en-US"/>
              </w:rPr>
              <w:t>6. Asynchronous and synchronous online discussions serve different purposes. But the outcomes for both are equivalent and not similar. My instructor likened this to Samuelson's Equivalence Theory. Samuelson explains that math is a language and highlights its utility and limitations in economics, advocating for a balanced approach. He mentions that learning math is helpful but not essential for success in economic theory</w:t>
            </w:r>
          </w:p>
        </w:tc>
        <w:tc>
          <w:tcPr>
            <w:tcW w:w="3900" w:type="dxa"/>
            <w:tcBorders>
              <w:top w:val="nil"/>
              <w:left w:val="nil"/>
              <w:bottom w:val="nil"/>
              <w:right w:val="nil"/>
            </w:tcBorders>
            <w:tcMar>
              <w:left w:w="75" w:type="dxa"/>
              <w:right w:w="75" w:type="dxa"/>
            </w:tcMar>
            <w:vAlign w:val="center"/>
          </w:tcPr>
          <w:p w:rsidR="66C8C8D7" w:rsidP="66C8C8D7" w:rsidRDefault="66C8C8D7" w14:paraId="75743C7A" w14:textId="39DBCFD8">
            <w:pPr>
              <w:bidi w:val="0"/>
              <w:spacing w:after="0" w:line="480" w:lineRule="auto"/>
              <w:ind w:left="100"/>
              <w:rPr>
                <w:rFonts w:ascii="Times New Roman" w:hAnsi="Times New Roman" w:eastAsia="Times New Roman" w:cs="Times New Roman"/>
                <w:b w:val="0"/>
                <w:bCs w:val="0"/>
                <w:i w:val="0"/>
                <w:iCs w:val="0"/>
                <w:caps w:val="0"/>
                <w:smallCap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aps w:val="0"/>
                <w:smallCaps w:val="0"/>
                <w:color w:val="000000" w:themeColor="text1" w:themeTint="FF" w:themeShade="FF"/>
                <w:sz w:val="24"/>
                <w:szCs w:val="24"/>
                <w:lang w:val="en-US"/>
              </w:rPr>
              <w:t> </w:t>
            </w:r>
          </w:p>
          <w:p w:rsidR="66C8C8D7" w:rsidP="66C8C8D7" w:rsidRDefault="66C8C8D7" w14:paraId="167CEBAD" w14:textId="4BC32F8A">
            <w:pPr>
              <w:bidi w:val="0"/>
              <w:spacing w:after="0" w:line="480" w:lineRule="auto"/>
              <w:ind w:left="100"/>
              <w:rPr>
                <w:rFonts w:ascii="Times New Roman" w:hAnsi="Times New Roman" w:eastAsia="Times New Roman" w:cs="Times New Roman"/>
                <w:b w:val="0"/>
                <w:bCs w:val="0"/>
                <w:i w:val="0"/>
                <w:iCs w:val="0"/>
                <w:caps w:val="0"/>
                <w:smallCap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aps w:val="0"/>
                <w:smallCaps w:val="0"/>
                <w:color w:val="000000" w:themeColor="text1" w:themeTint="FF" w:themeShade="FF"/>
                <w:sz w:val="24"/>
                <w:szCs w:val="24"/>
                <w:lang w:val="en-US"/>
              </w:rPr>
              <w:t>Big organizational changes occur where one is moved from one section to another, which impacts structure. And one needs to be prepared for this.</w:t>
            </w:r>
          </w:p>
        </w:tc>
      </w:tr>
    </w:tbl>
    <w:p w:rsidR="66C8C8D7" w:rsidP="66C8C8D7" w:rsidRDefault="66C8C8D7" w14:paraId="6073243C" w14:textId="17A4333C">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7762D0CE" w:rsidP="66C8C8D7" w:rsidRDefault="7762D0CE" w14:paraId="33CA6E5B" w14:textId="52E1FAC0">
      <w:pPr>
        <w:bidi w:val="0"/>
        <w:spacing w:after="0" w:line="480" w:lineRule="auto"/>
        <w:rPr>
          <w:rFonts w:ascii="Times New Roman" w:hAnsi="Times New Roman" w:eastAsia="Times New Roman" w:cs="Times New Roman"/>
          <w:noProof w:val="0"/>
          <w:sz w:val="24"/>
          <w:szCs w:val="24"/>
          <w:lang w:val="en-US"/>
        </w:rPr>
      </w:pPr>
      <w:r w:rsidRPr="66C8C8D7" w:rsidR="7762D0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Appendix consists of a list of discussion questions with my instructor on collaborative instructional design</w:t>
      </w:r>
    </w:p>
    <w:p w:rsidR="66C8C8D7" w:rsidP="66C8C8D7" w:rsidRDefault="66C8C8D7" w14:paraId="5F2846E0" w14:textId="77D472AA">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3448A7F6" w14:textId="5620871A">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C9BFA48" w14:textId="5C8A5884">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F045440" w14:textId="557CB29B">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704CEFF" w14:textId="4DF38731">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7BEE014" w14:textId="132CF75D">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7762D0CE" w:rsidP="66C8C8D7" w:rsidRDefault="7762D0CE" w14:paraId="3DBC4193" w14:textId="4F1D03A5">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762D0C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References</w:t>
      </w:r>
    </w:p>
    <w:p w:rsidR="7762D0CE" w:rsidP="66C8C8D7" w:rsidRDefault="7762D0CE" w14:paraId="67B748AA" w14:textId="37F4F049">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762D0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Ku, C.-J., Lin, K.-Y., Kwon, H., &amp; Kelley, T. (2025). A six-stage instructional design model for collaborative implementation of integrated STEM education. </w:t>
      </w:r>
      <w:r w:rsidRPr="66C8C8D7" w:rsidR="7762D0CE">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Journal of Technology Education</w:t>
      </w:r>
      <w:r w:rsidRPr="66C8C8D7" w:rsidR="7762D0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6C8C8D7" w:rsidR="7762D0CE">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36</w:t>
      </w:r>
      <w:r w:rsidRPr="66C8C8D7" w:rsidR="7762D0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(2), 25–60. </w:t>
      </w:r>
      <w:hyperlink r:id="R3441a5363d08428a">
        <w:r w:rsidRPr="66C8C8D7" w:rsidR="7762D0CE">
          <w:rPr>
            <w:rStyle w:val="Hyperlink"/>
            <w:rFonts w:ascii="Times New Roman" w:hAnsi="Times New Roman" w:eastAsia="Times New Roman" w:cs="Times New Roman"/>
            <w:b w:val="0"/>
            <w:bCs w:val="0"/>
            <w:i w:val="0"/>
            <w:iCs w:val="0"/>
            <w:caps w:val="0"/>
            <w:smallCaps w:val="0"/>
            <w:noProof w:val="0"/>
            <w:sz w:val="24"/>
            <w:szCs w:val="24"/>
            <w:lang w:val="en-US"/>
          </w:rPr>
          <w:t>https://doi.org/10.21061/jte.v36i2.a.3</w:t>
        </w:r>
      </w:hyperlink>
    </w:p>
    <w:p w:rsidR="7762D0CE" w:rsidP="66C8C8D7" w:rsidRDefault="7762D0CE" w14:paraId="1D297B8D" w14:textId="4BF51300">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762D0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Marnola, I., Degeng, N., Ulfa, S., &amp; Praherdhiono, H. (2025). Instructional model design of project-based collaborative online learning on an online discussion forum. - Ebsco. </w:t>
      </w:r>
      <w:r w:rsidRPr="66C8C8D7" w:rsidR="7762D0CE">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Journal of Educators Online</w:t>
      </w:r>
      <w:r w:rsidRPr="66C8C8D7" w:rsidR="7762D0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6C8C8D7" w:rsidR="7762D0CE">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22</w:t>
      </w:r>
      <w:r w:rsidRPr="66C8C8D7" w:rsidR="7762D0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(2), 1–18. </w:t>
      </w:r>
      <w:hyperlink r:id="R71e4f76329c24317">
        <w:r w:rsidRPr="66C8C8D7" w:rsidR="7762D0CE">
          <w:rPr>
            <w:rStyle w:val="Hyperlink"/>
            <w:rFonts w:ascii="Times New Roman" w:hAnsi="Times New Roman" w:eastAsia="Times New Roman" w:cs="Times New Roman"/>
            <w:b w:val="0"/>
            <w:bCs w:val="0"/>
            <w:i w:val="0"/>
            <w:iCs w:val="0"/>
            <w:caps w:val="0"/>
            <w:smallCaps w:val="0"/>
            <w:noProof w:val="0"/>
            <w:sz w:val="24"/>
            <w:szCs w:val="24"/>
            <w:lang w:val="en-US"/>
          </w:rPr>
          <w:t>https://www.thejeo.com</w:t>
        </w:r>
      </w:hyperlink>
    </w:p>
    <w:p w:rsidR="7762D0CE" w:rsidP="66C8C8D7" w:rsidRDefault="7762D0CE" w14:paraId="2F4BA05B" w14:textId="2E781AA4">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762D0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Pollard, R., &amp; Kumar, S. (2022a). Instructional designers in higher education: Roles, challenges, and supports. </w:t>
      </w:r>
      <w:r w:rsidRPr="66C8C8D7" w:rsidR="7762D0CE">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Journal of Applied Instructional Design</w:t>
      </w:r>
      <w:r w:rsidRPr="66C8C8D7" w:rsidR="7762D0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r:id="Rb9fc1ee7f0fc417d">
        <w:r w:rsidRPr="66C8C8D7" w:rsidR="7762D0CE">
          <w:rPr>
            <w:rStyle w:val="Hyperlink"/>
            <w:rFonts w:ascii="Times New Roman" w:hAnsi="Times New Roman" w:eastAsia="Times New Roman" w:cs="Times New Roman"/>
            <w:b w:val="0"/>
            <w:bCs w:val="0"/>
            <w:i w:val="0"/>
            <w:iCs w:val="0"/>
            <w:caps w:val="0"/>
            <w:smallCaps w:val="0"/>
            <w:noProof w:val="0"/>
            <w:sz w:val="24"/>
            <w:szCs w:val="24"/>
            <w:lang w:val="en-US"/>
          </w:rPr>
          <w:t>https://doi.org/DOI:10.59668/354.5896</w:t>
        </w:r>
      </w:hyperlink>
    </w:p>
    <w:p w:rsidR="7762D0CE" w:rsidP="66C8C8D7" w:rsidRDefault="7762D0CE" w14:paraId="319F1FA8" w14:textId="1F940932">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762D0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Pollard, R., &amp; Kumar, S. (2022b). Instructional designers in higher education: Roles, challenges, and supports. </w:t>
      </w:r>
      <w:r w:rsidRPr="66C8C8D7" w:rsidR="7762D0CE">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The Journal of Applied Instructional Design</w:t>
      </w:r>
      <w:r w:rsidRPr="66C8C8D7" w:rsidR="7762D0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6C8C8D7" w:rsidR="7762D0CE">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11</w:t>
      </w:r>
      <w:r w:rsidRPr="66C8C8D7" w:rsidR="7762D0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(1), 7–25. </w:t>
      </w:r>
      <w:hyperlink r:id="R0d72033a39924ca0">
        <w:r w:rsidRPr="66C8C8D7" w:rsidR="7762D0CE">
          <w:rPr>
            <w:rStyle w:val="Hyperlink"/>
            <w:rFonts w:ascii="Times New Roman" w:hAnsi="Times New Roman" w:eastAsia="Times New Roman" w:cs="Times New Roman"/>
            <w:b w:val="0"/>
            <w:bCs w:val="0"/>
            <w:i w:val="0"/>
            <w:iCs w:val="0"/>
            <w:caps w:val="0"/>
            <w:smallCaps w:val="0"/>
            <w:noProof w:val="0"/>
            <w:sz w:val="24"/>
            <w:szCs w:val="24"/>
            <w:lang w:val="en-US"/>
          </w:rPr>
          <w:t>https://doi.org/10.59668/354.5896</w:t>
        </w:r>
      </w:hyperlink>
    </w:p>
    <w:p w:rsidR="7762D0CE" w:rsidP="66C8C8D7" w:rsidRDefault="7762D0CE" w14:paraId="44D18937" w14:textId="48D0B055">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762D0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Zhou, J., &amp; Ye, J.-M. (2024). Investigating cognitive engagement patterns in online collaborative learning: A temporal learning analytic study. </w:t>
      </w:r>
      <w:r w:rsidRPr="66C8C8D7" w:rsidR="7762D0CE">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Interactive Learning Environments</w:t>
      </w:r>
      <w:r w:rsidRPr="66C8C8D7" w:rsidR="7762D0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6C8C8D7" w:rsidR="7762D0CE">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32</w:t>
      </w:r>
      <w:r w:rsidRPr="66C8C8D7" w:rsidR="7762D0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(10), 6997–7013. </w:t>
      </w:r>
      <w:hyperlink r:id="R8035904a15f64b12">
        <w:r w:rsidRPr="66C8C8D7" w:rsidR="7762D0CE">
          <w:rPr>
            <w:rStyle w:val="Hyperlink"/>
            <w:rFonts w:ascii="Times New Roman" w:hAnsi="Times New Roman" w:eastAsia="Times New Roman" w:cs="Times New Roman"/>
            <w:b w:val="0"/>
            <w:bCs w:val="0"/>
            <w:i w:val="0"/>
            <w:iCs w:val="0"/>
            <w:caps w:val="0"/>
            <w:smallCaps w:val="0"/>
            <w:noProof w:val="0"/>
            <w:sz w:val="24"/>
            <w:szCs w:val="24"/>
            <w:lang w:val="en-US"/>
          </w:rPr>
          <w:t>https://doi.org/10.1080/10494820.2023.2299976</w:t>
        </w:r>
      </w:hyperlink>
    </w:p>
    <w:p w:rsidR="66C8C8D7" w:rsidP="66C8C8D7" w:rsidRDefault="66C8C8D7" w14:paraId="29550B6F" w14:textId="4830655B">
      <w:pPr>
        <w:bidi w:val="0"/>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27B45D1E" w14:textId="347FE710">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5C75600E" w14:textId="474E8FC2">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7202C49" w14:textId="3032A78B">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6F09F44C" w14:textId="2ABDFB70">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1281130" w14:textId="37C1A3D2">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7762D0CE" w:rsidP="66C8C8D7" w:rsidRDefault="7762D0CE" w14:paraId="555DBC77" w14:textId="73315906">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762D0C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Appendix</w:t>
      </w:r>
    </w:p>
    <w:p w:rsidR="7762D0CE" w:rsidP="66C8C8D7" w:rsidRDefault="7762D0CE" w14:paraId="58C40BD6" w14:textId="09778D70">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762D0C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List of Questions on Collaborative Instructional Design</w:t>
      </w:r>
    </w:p>
    <w:p w:rsidR="7762D0CE" w:rsidP="66C8C8D7" w:rsidRDefault="7762D0CE" w14:paraId="56174BBE" w14:textId="21359476">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762D0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1. How can the outcomes of collaborative instructional design be measured during its implementation?  </w:t>
      </w:r>
    </w:p>
    <w:p w:rsidR="7762D0CE" w:rsidP="66C8C8D7" w:rsidRDefault="7762D0CE" w14:paraId="4C87B80C" w14:textId="55991F83">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762D0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2. What elements of instruction necessitate the use of discussion-based collaborative instructional design?  </w:t>
      </w:r>
    </w:p>
    <w:p w:rsidR="7762D0CE" w:rsidP="66C8C8D7" w:rsidRDefault="7762D0CE" w14:paraId="4011A6F5" w14:textId="7448CCA8">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762D0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3. How can one ensure that diverse perspectives are included in collaborative instructional design?  </w:t>
      </w:r>
    </w:p>
    <w:p w:rsidR="7762D0CE" w:rsidP="66C8C8D7" w:rsidRDefault="7762D0CE" w14:paraId="24CC7F8C" w14:textId="65A6C522">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762D0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4. What tools can help keep everyone involved in collaborative ID aligned with ideas and suggestions during the design process?  </w:t>
      </w:r>
    </w:p>
    <w:p w:rsidR="7762D0CE" w:rsidP="66C8C8D7" w:rsidRDefault="7762D0CE" w14:paraId="26B418D1" w14:textId="7E7E042F">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762D0C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5. Can asynchronous online discussions provide the same learning benefits as synchronous online discussions in collaborative instructional design? Additionally, are there adjustments needed to achieve equivalent results?  </w:t>
      </w:r>
    </w:p>
    <w:p w:rsidR="66C8C8D7" w:rsidP="66C8C8D7" w:rsidRDefault="66C8C8D7" w14:paraId="30638115" w14:textId="3D56BC57">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6C54EC80" w14:textId="651F6ECD">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3AE1445F" w14:textId="38C7A5FA">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8513691" w14:textId="23622A74">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389DC996" w14:textId="3D996944">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5C06F6E" w14:textId="30EFA5E9">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C591651" w14:textId="49F54CA5">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D9D7B38" w14:textId="1A95677F">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0C6AD45" w14:textId="169B9EBA">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3C914A1F" w:rsidP="66C8C8D7" w:rsidRDefault="3C914A1F" w14:paraId="5D184C7A" w14:textId="2CC4FEB2">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C914A1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Reflection on Synchronous Dialogue</w:t>
      </w:r>
    </w:p>
    <w:p w:rsidR="3C914A1F" w:rsidP="66C8C8D7" w:rsidRDefault="3C914A1F" w14:paraId="23A38055" w14:textId="743D5E5B">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C914A1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Chikodinaka T. Duruaku</w:t>
      </w:r>
    </w:p>
    <w:p w:rsidR="3C914A1F" w:rsidP="66C8C8D7" w:rsidRDefault="3C914A1F" w14:paraId="427BC4B8" w14:textId="36CBAE93">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C914A1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Sanford College of Education</w:t>
      </w:r>
    </w:p>
    <w:p w:rsidR="3C914A1F" w:rsidP="66C8C8D7" w:rsidRDefault="3C914A1F" w14:paraId="4B8E1ED7" w14:textId="488DDD0E">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C914A1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ID 8900v1: Foundations of Instructional design</w:t>
      </w:r>
    </w:p>
    <w:p w:rsidR="3C914A1F" w:rsidP="66C8C8D7" w:rsidRDefault="3C914A1F" w14:paraId="0F648FDB" w14:textId="16D88882">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C914A1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Dr. Jennifer Summerville</w:t>
      </w:r>
    </w:p>
    <w:p w:rsidR="3C914A1F" w:rsidP="66C8C8D7" w:rsidRDefault="3C914A1F" w14:paraId="1894ABDA" w14:textId="0A380A2B">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C914A1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February 21, 2026</w:t>
      </w:r>
    </w:p>
    <w:p w:rsidR="66C8C8D7" w:rsidP="66C8C8D7" w:rsidRDefault="66C8C8D7" w14:paraId="2AF1187D" w14:textId="70789FBA">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69D9DADB" w14:textId="288FFF58">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6D489049" w14:textId="1E0186CF">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52B3A227" w14:textId="000A4834">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9F1A9E8" w14:textId="7F7C2E39">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26101CE" w14:textId="1BBCFFD1">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4CBBA782" w14:textId="4437B0D9">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1B37253" w14:textId="3D18CA8D">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98C9222" w14:textId="253B35F6">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524859A3" w14:textId="6E44B6D4">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F94F884" w14:textId="36FBCE5D">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1F3B2F7" w14:textId="141821C3">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6F8762B3" w14:textId="58AC6B18">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3C914A1F" w:rsidP="66C8C8D7" w:rsidRDefault="3C914A1F" w14:paraId="30BE89F5" w14:textId="77B798F8">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C914A1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Reflection on Synchronous Dialogue</w:t>
      </w:r>
    </w:p>
    <w:p w:rsidR="3C914A1F" w:rsidP="66C8C8D7" w:rsidRDefault="3C914A1F" w14:paraId="04333E80" w14:textId="2944EA94">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C914A1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I'm Chika Duruaku. A graduate student of ID (Instructional Design) at National University. My interest in ID stems from my desire to learn how to create and implement tools that facilitate learning, leading to positive outcomes. In my synchronous discussion with my instructor, Dr. Summerville, went over some topics based on my questions on: How the outcomes of collaborative instructional design are measured during its implementation, the elements of instruction that necessitate the use of discussion-based collaborative instructional design, how one ensures that diverse perspectives are included in collaborative instructional design, what tools can help keep everyone involved in collaborative instructional design aligned with ideas and suggestions during the design process, can asynchronous online discussions in collaborative instructional design provide the same learning benefits as synchronous online discussions? </w:t>
      </w:r>
    </w:p>
    <w:p w:rsidR="3C914A1F" w:rsidP="66C8C8D7" w:rsidRDefault="3C914A1F" w14:paraId="31544995" w14:textId="17BE487F">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C914A1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Marnola et al. (2025) mention that learners may not achieve an optimal level of interaction with peers in an online asynchronous discussion unless activities that promote critical thinking are adopted. This implies that critical thinking is required for effective asynchronous discussion. My instructor provided key explanations for these questions, which helped me identify the opportunities and challenges involved in collaborative instructional design. The opportunities include: the need for every instructional designer to have experience in project management and to constantly discuss with faculty and others outside instructional design to gather feedback and other perspectives for personal development. It is also important to utilize Basecamp, a project management tool. Apparently, this tool was used at the same time that ID 8900 and ID 8910 courses were developed. The challenges include: The problem with broken links, which may be encountered by students, and A. I (Artificial Intelligence) - although it is still growing, it can be unstable. There are challenges with using Basecamp, including the risk of losing documents and the need to fix broken links. There are significant organizational changes, such as being moved from one section to another, which affect the structure. Allen and Gardner (2021) explain that some organizations may encounter challenges with abrupt change, and that adjustments must be made to accommodate it.</w:t>
      </w:r>
    </w:p>
    <w:p w:rsidR="3C914A1F" w:rsidP="66C8C8D7" w:rsidRDefault="3C914A1F" w14:paraId="0222E402" w14:textId="53676235">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C914A1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synchronous discussion on collaborative instructional design provided more insight into the importance of gaining diverse perspectives through working with people, including faculty and students from diverse communities, for personal growth as an instructional designer. Pollard and Kumar (2022) are of the view that instructional designers add value to the collaborative process of course design and development by supporting faculty in updating their teaching approaches with effective tech-enhanced strategies. My instructor shared a professional experience in which, as an instructional designer, she led the design of some courses in instructional design and described how the culture of diversity was implemented. This shows that in ID, doors are opened to diversity to increase collaboration and achieve successful project outcomes.</w:t>
      </w:r>
    </w:p>
    <w:p w:rsidR="3C914A1F" w:rsidP="66C8C8D7" w:rsidRDefault="3C914A1F" w14:paraId="072177D8" w14:textId="199C8538">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C914A1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 learned about Basecamp, which is an online software tool. This was used at the same time that ID 8900 and ID 8910 courses were developed. It was also awesome to learn that broken links could be fixed quickly. I hope to do this someday.</w:t>
      </w:r>
    </w:p>
    <w:p w:rsidR="3C914A1F" w:rsidP="66C8C8D7" w:rsidRDefault="3C914A1F" w14:paraId="1DA4F62E" w14:textId="32F26902">
      <w:pPr>
        <w:pStyle w:val="Normal"/>
        <w:bidi w:val="0"/>
        <w:spacing w:after="0" w:line="480" w:lineRule="auto"/>
        <w:ind w:firstLine="0"/>
        <w:rPr>
          <w:rFonts w:ascii="Times New Roman" w:hAnsi="Times New Roman" w:eastAsia="Times New Roman" w:cs="Times New Roman"/>
          <w:noProof w:val="0"/>
          <w:sz w:val="24"/>
          <w:szCs w:val="24"/>
          <w:lang w:val="en-US"/>
        </w:rPr>
      </w:pPr>
      <w:r w:rsidRPr="66C8C8D7" w:rsidR="3C914A1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In conclusion, the synchronous dialogue was engaging and collaborative, as she shared professional experiences from her journey as a professional instructional designer and provided helpful explanations to my questions about collaborative instructional design. This activity</w:t>
      </w:r>
      <w:r w:rsidRPr="66C8C8D7" w:rsidR="6840A91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6C8C8D7" w:rsidR="6840A91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provided</w:t>
      </w:r>
      <w:r w:rsidRPr="66C8C8D7" w:rsidR="6840A91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learning opportunities on how an instructional designer can grow and succeed in their profession.</w:t>
      </w:r>
    </w:p>
    <w:p w:rsidR="66C8C8D7" w:rsidP="66C8C8D7" w:rsidRDefault="66C8C8D7" w14:paraId="3700C6F3" w14:textId="07C18ED3">
      <w:pPr>
        <w:pStyle w:val="Normal"/>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840A91E" w:rsidP="66C8C8D7" w:rsidRDefault="6840A91E" w14:paraId="697165E3" w14:textId="427458E0">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840A91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r w:rsidRPr="66C8C8D7" w:rsidR="6840A91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References</w:t>
      </w:r>
    </w:p>
    <w:p w:rsidR="6840A91E" w:rsidP="66C8C8D7" w:rsidRDefault="6840A91E" w14:paraId="59D46B32" w14:textId="69E5F5C6">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840A91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Allen, S., &amp; Gardner, J. (2021). Project management competencies in instructional design. </w:t>
      </w:r>
      <w:r w:rsidRPr="66C8C8D7" w:rsidR="6840A91E">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Journal of Distance Learning Administration</w:t>
      </w:r>
      <w:r w:rsidRPr="66C8C8D7" w:rsidR="6840A91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6C8C8D7" w:rsidR="6840A91E">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24</w:t>
      </w:r>
      <w:r w:rsidRPr="66C8C8D7" w:rsidR="6840A91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(2). </w:t>
      </w:r>
      <w:hyperlink r:id="R49a141089cf44602">
        <w:r w:rsidRPr="66C8C8D7" w:rsidR="6840A91E">
          <w:rPr>
            <w:rStyle w:val="Hyperlink"/>
            <w:rFonts w:ascii="Times New Roman" w:hAnsi="Times New Roman" w:eastAsia="Times New Roman" w:cs="Times New Roman"/>
            <w:b w:val="0"/>
            <w:bCs w:val="0"/>
            <w:i w:val="0"/>
            <w:iCs w:val="0"/>
            <w:caps w:val="0"/>
            <w:smallCaps w:val="0"/>
            <w:noProof w:val="0"/>
            <w:sz w:val="24"/>
            <w:szCs w:val="24"/>
            <w:lang w:val="en-US"/>
          </w:rPr>
          <w:t>https://eric.ed.gov/?id=EJ1311023</w:t>
        </w:r>
      </w:hyperlink>
    </w:p>
    <w:p w:rsidR="6840A91E" w:rsidP="66C8C8D7" w:rsidRDefault="6840A91E" w14:paraId="64804CA4" w14:textId="7BB19BCD">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840A91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Marnola, I., Degeng, N., Ulfa, S., &amp; Praherdhiono, H. (2025). Instructional model design of project-based collaborative online learning on an online discussion forum. - Ebsco. </w:t>
      </w:r>
      <w:r w:rsidRPr="66C8C8D7" w:rsidR="6840A91E">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Journal of Educators Online</w:t>
      </w:r>
      <w:r w:rsidRPr="66C8C8D7" w:rsidR="6840A91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6C8C8D7" w:rsidR="6840A91E">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22</w:t>
      </w:r>
      <w:r w:rsidRPr="66C8C8D7" w:rsidR="6840A91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(2), 1–18. </w:t>
      </w:r>
      <w:hyperlink r:id="R26cfc7d319984f0f">
        <w:r w:rsidRPr="66C8C8D7" w:rsidR="6840A91E">
          <w:rPr>
            <w:rStyle w:val="Hyperlink"/>
            <w:rFonts w:ascii="Times New Roman" w:hAnsi="Times New Roman" w:eastAsia="Times New Roman" w:cs="Times New Roman"/>
            <w:b w:val="0"/>
            <w:bCs w:val="0"/>
            <w:i w:val="0"/>
            <w:iCs w:val="0"/>
            <w:caps w:val="0"/>
            <w:smallCaps w:val="0"/>
            <w:noProof w:val="0"/>
            <w:sz w:val="24"/>
            <w:szCs w:val="24"/>
            <w:lang w:val="en-US"/>
          </w:rPr>
          <w:t>https://www.thejeo.com</w:t>
        </w:r>
      </w:hyperlink>
    </w:p>
    <w:p w:rsidR="6840A91E" w:rsidP="66C8C8D7" w:rsidRDefault="6840A91E" w14:paraId="361C337B" w14:textId="019AC217">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840A91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Pollard, R., &amp; Kumar, S. (2022). Instructional designers in higher education: Roles, challenges, and supports. </w:t>
      </w:r>
      <w:r w:rsidRPr="66C8C8D7" w:rsidR="6840A91E">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Journal of Applied Instructional Design</w:t>
      </w:r>
      <w:r w:rsidRPr="66C8C8D7" w:rsidR="6840A91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r:id="R0fbbbb3814ec4aa7">
        <w:r w:rsidRPr="66C8C8D7" w:rsidR="6840A91E">
          <w:rPr>
            <w:rStyle w:val="Hyperlink"/>
            <w:rFonts w:ascii="Times New Roman" w:hAnsi="Times New Roman" w:eastAsia="Times New Roman" w:cs="Times New Roman"/>
            <w:b w:val="0"/>
            <w:bCs w:val="0"/>
            <w:i w:val="0"/>
            <w:iCs w:val="0"/>
            <w:caps w:val="0"/>
            <w:smallCaps w:val="0"/>
            <w:noProof w:val="0"/>
            <w:sz w:val="24"/>
            <w:szCs w:val="24"/>
            <w:lang w:val="en-US"/>
          </w:rPr>
          <w:t>https://doi.org/DOI:10.59668/354.5896</w:t>
        </w:r>
      </w:hyperlink>
    </w:p>
    <w:p w:rsidR="66C8C8D7" w:rsidP="66C8C8D7" w:rsidRDefault="66C8C8D7" w14:paraId="6C098DA6" w14:textId="2ABCCA42">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7184F910" w14:textId="67E86BF7">
      <w:pPr>
        <w:bidi w:val="0"/>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093A277A" w14:textId="536212A3">
      <w:pPr>
        <w:pStyle w:val="Normal"/>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50A62A02" w14:textId="562B024A">
      <w:pPr>
        <w:pStyle w:val="Normal"/>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48060BDA" w14:textId="55CAE766">
      <w:pPr>
        <w:pStyle w:val="Normal"/>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6DB6142B" w14:textId="170FC447">
      <w:pPr>
        <w:pStyle w:val="Normal"/>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7C899CCD" w14:textId="27F678FC">
      <w:pPr>
        <w:pStyle w:val="Normal"/>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10AE472C" w14:textId="441F72F8">
      <w:pPr>
        <w:pStyle w:val="Normal"/>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3264630D" w14:textId="0A9D8B66">
      <w:pPr>
        <w:pStyle w:val="Normal"/>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764AFEB5" w14:textId="2C96172A">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1BF482F" w14:textId="2F2E9A60">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5BB69798" w:rsidP="66C8C8D7" w:rsidRDefault="5BB69798" w14:paraId="00666660" w14:textId="1F4FE383">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BB6979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Design an Instructional Design Best Practices Poster</w:t>
      </w:r>
    </w:p>
    <w:p w:rsidR="5BB69798" w:rsidP="66C8C8D7" w:rsidRDefault="5BB69798" w14:paraId="682BCA06" w14:textId="7ADA505C">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Chikodinaka T. Duruaku</w:t>
      </w:r>
    </w:p>
    <w:p w:rsidR="5BB69798" w:rsidP="66C8C8D7" w:rsidRDefault="5BB69798" w14:paraId="1DE9629F" w14:textId="4CB7A1B8">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Sanford College of Education</w:t>
      </w:r>
    </w:p>
    <w:p w:rsidR="5BB69798" w:rsidP="66C8C8D7" w:rsidRDefault="5BB69798" w14:paraId="69A6182A" w14:textId="35BCC40D">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ID 8900v1: Foundations of Instructional Design</w:t>
      </w:r>
    </w:p>
    <w:p w:rsidR="5BB69798" w:rsidP="66C8C8D7" w:rsidRDefault="5BB69798" w14:paraId="54871118" w14:textId="7DF2CC96">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Dr. Jennifer Summerville</w:t>
      </w:r>
    </w:p>
    <w:p w:rsidR="5BB69798" w:rsidP="66C8C8D7" w:rsidRDefault="5BB69798" w14:paraId="2D7305AE" w14:textId="11C2F7CA">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February 26, 2026</w:t>
      </w:r>
    </w:p>
    <w:p w:rsidR="66C8C8D7" w:rsidP="66C8C8D7" w:rsidRDefault="66C8C8D7" w14:paraId="11F69378" w14:textId="635D5513">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B7F76F8" w14:textId="280BC85D">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4C0D5160" w14:textId="680A1EB2">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21251B5" w14:textId="497BF09B">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B5301B0" w14:textId="3FA3E6A4">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7860154" w14:textId="3A83510C">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33F7A2A9" w14:textId="4FA80A39">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5754A76B" w14:textId="472AF13B">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CF287D6" w14:textId="4BFF7CB5">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3A71C01C" w14:textId="0654169A">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54525FBD" w14:textId="5DB7CB3B">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611E42DA" w14:textId="40C2968C">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667E427" w14:textId="49C3ED93">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5BB69798" w:rsidP="66C8C8D7" w:rsidRDefault="5BB69798" w14:paraId="026406F3" w14:textId="2CA3EE84">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BB6979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Design an Instructional Design Best Practices Poster</w:t>
      </w:r>
    </w:p>
    <w:p w:rsidR="5BB69798" w:rsidP="66C8C8D7" w:rsidRDefault="5BB69798" w14:paraId="7295F197" w14:textId="0B582B2B">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popularity of digital learning has caused the provision of the steps of instructional design required for e-learning (Ekoto &amp; Wa-Mbaleka, 2024). Instructional design positively impacts online learning, as certain procedures and strategies must be used to achieve positive outcomes. Students' learning needs are usually considered when designing instruction. This requires knowing the target audience (the learners) and the task they need to perform to achieve the specific instructional objectives. Best practices in instructional design are the requirements considered in designing quality instruction. (2024) give examples of instructional design best practices to include: doing a thorough needs analysis before designing a course, using varied ways of presenting information, and consistency in the design of the modules of a course</w:t>
      </w:r>
    </w:p>
    <w:p w:rsidR="5BB69798" w:rsidP="66C8C8D7" w:rsidRDefault="5BB69798" w14:paraId="290DCCEC" w14:textId="340DB82F">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Five instructional design examples, along with their instructional design models, will be evaluated for adherence to best practices. The results of the evaluations will be used to design a best-practices poster. The first example is a journal article titled "How Students Navigate in Online Classrooms: The Link between Usability and Instructional Design Best Practices," written by authors Ngampornchai, A., Trail-Constant, T., and Swenson, N. The objective of the article is to understand how students navigate online courses, using their behavior to identify the most effective and easy-to-use course design. According to the author, good navigation should be simple. The best practices identified in this study include: easy course navigation for students, provision of module objectives, and the use of multimedia. One observed limitation of the study is the use of a fictitious course. This would impact the study's results, as it may not be used to determine how participants will perform in their course-related disciplines.</w:t>
      </w:r>
    </w:p>
    <w:p w:rsidR="5BB69798" w:rsidP="66C8C8D7" w:rsidRDefault="5BB69798" w14:paraId="42B708AA" w14:textId="4305490A">
      <w:pPr>
        <w:bidi w:val="0"/>
        <w:spacing w:before="0" w:beforeAutospacing="off" w:after="0" w:afterAutospacing="off" w:line="480" w:lineRule="auto"/>
        <w:ind w:left="0" w:right="0" w:firstLine="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second example is a journal article titled "Integrating the ASSURE Instructional Design Model in the Medical Education System: Applications in the Anatomy Discipline," written by authors Szabo, D., Balmos, J., Veres, C., Truta, R., Constantin, T., Lau-Andries, C., and Adumitrachioaie. The objective of the article is to analyze the use of the ASSURE model in medical science, with a concentration on anatomy instruction. The ASSURE model, according to Shah (2020, as cited in Szabo et al. 2025), offers a versatile structure that adapts well across different learning environments, supporting refinement in both teaching and student learning outcomes. This ensures that steps that promote student learning and engagement are implemented during instruction. The presentation of the best practices in this case study includes: the specific goals of students using VR (Virtual Reality) glasses and 3D models in the study and analysis of human anatomy. Students visualize and work effectively with the anatomy. Other best practices noted include the use of mobile/tablets to integrate AR (Augmented Reality) applications, digital textbooks, and experiential learning activities. The authors note that using AR enables learners to effectively study and understand the cardiovascular system. </w:t>
      </w:r>
    </w:p>
    <w:p w:rsidR="5BB69798" w:rsidP="66C8C8D7" w:rsidRDefault="5BB69798" w14:paraId="1B0218F9" w14:textId="106E65F1">
      <w:pPr>
        <w:bidi w:val="0"/>
        <w:spacing w:before="0" w:beforeAutospacing="off" w:after="0" w:afterAutospacing="off" w:line="480" w:lineRule="auto"/>
        <w:ind w:left="0" w:right="0" w:firstLine="720"/>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third journal article selected is titled "Preparation for the Development of Project-Based Learning Model Using Instructional Design Dick &amp; Carey in Vocational School." The contributing authors are Muhtar, M., Suryanti, S., Bachri, B., Kurniawati, E., Sari, I., Huda, S., and Sulaiman, W. The article's stated objectives are for students to demonstrate the Gas Metal Arc Welding (GMAW) technique on plates in 1F, 2F, and 3F positions, and to connect English and Math concepts to their technical skills as part of their training program. Achieving these objectives ensures students understand how subjects apply to professional skills. The recognized best practices include considering vocational students' entry skills, characteristics, and learning environments. This will ensure that students' learning needs are met. According to Brown and Green (2019), knowledge of learners' characteristics will guide the design of effective instruction.</w:t>
      </w:r>
    </w:p>
    <w:p w:rsidR="5BB69798" w:rsidP="66C8C8D7" w:rsidRDefault="5BB69798" w14:paraId="26873ECA" w14:textId="67B7947B">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fourth journal article is titled "Designing for Engagement: Using the ADDIE Model to Integrate High-Impact Practices into an online Information Literacy Course." The authors are Hess, A., and Greer, K. The learning objective is to build students’ abilities and mindsets to locate, use responsibly, and integrate information effectively in today’s digital world. It also meets the university’s general education requirements for writing-intensive, knowledge-application coursework. The course LIB250 applies the ADDIE model as a best practice to boost student engagement and encourage cross-disciplinary discussions on information literacy development. Other best practices identified include: ensuring that the course iteration was writing-intensive, integrating collaborative tasks and assignments, and using words and graphics together. When words and graphics are combined, students are more engaged. The article mentioned that students like the use of screenshots and videos in the course presentation rather than extensive text. </w:t>
      </w:r>
    </w:p>
    <w:p w:rsidR="5BB69798" w:rsidP="66C8C8D7" w:rsidRDefault="5BB69798" w14:paraId="04A9C146" w14:textId="1982A8E1">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fifth journal, "Unraveling Stigma Toward Persons With Substance Use Disorder: Instructional Design, Implementation, and Outcomes of an Interprofessional Workshop," was written by the authors, Haines, S., Parker, J., Wartman, C., Cooper, R., Knox, B., and Adcock, K. The program's objectives include: to identify common challenges faced by individuals with addiction, and to examine strategies that build resilience, supporting the emotional well-being of health professionals who work with them. The best practices used in the study include the instructional methods employed to achieve the stated objectives. They include: video clips of patients and health professionals examining their beliefs, small-group discussions with perspective-taking, and personal reflections on prior experience. Instead of focusing solely on content knowledge, the study provided more interaction among participants as they shared their personal experiences. </w:t>
      </w:r>
    </w:p>
    <w:p w:rsidR="5BB69798" w:rsidP="66C8C8D7" w:rsidRDefault="5BB69798" w14:paraId="7F844C67" w14:textId="083DE6F1">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In conclusion, this project provides the general steps required for best practices in instructional design. These steps include stating specific and achievable objectives, conducting a learners' analysis to understand and acknowledge their characteristics, and presenting instruction, multimedia, and assessments in coherent steps that align with the course goals and objectives. Using best practices in instructional design makes learning more student-centered and engaging for a diverse group of learners, ensuring positive learning outcomes.</w:t>
      </w:r>
    </w:p>
    <w:p w:rsidR="5BB69798" w:rsidP="66C8C8D7" w:rsidRDefault="5BB69798" w14:paraId="64BE5F90" w14:textId="09376E3D">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66C8C8D7" w:rsidP="66C8C8D7" w:rsidRDefault="66C8C8D7" w14:paraId="06413377" w14:textId="39AA90A0">
      <w:pPr>
        <w:bidi w:val="0"/>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5BF24F54" w14:textId="7CE9712D">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5D3507BA" w14:textId="38912CE3">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EF9B031" w14:textId="1C343D2A">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75E587F" w14:textId="53186C51">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4781053B" w14:textId="0AA7807D">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627FAF7C" w14:textId="09A7A6C6">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C83A607" w14:textId="19C26A6B">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4452AE23" w14:textId="436D21AB">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A62C61D" w14:textId="11849997">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7A15282" w14:textId="66DD0060">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3B8FE410" w14:textId="0ADFACB6">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6AE5BC0" w14:textId="58E4ABBF">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3FE56ACA" w14:textId="6F6660AA">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5BB69798" w:rsidP="66C8C8D7" w:rsidRDefault="5BB69798" w14:paraId="25FDBBDC" w14:textId="10744A42">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BB6979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References</w:t>
      </w:r>
    </w:p>
    <w:p w:rsidR="5BB69798" w:rsidP="66C8C8D7" w:rsidRDefault="5BB69798" w14:paraId="54C3611A" w14:textId="02E58966">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Brown, A., &amp; Green, T. (2019a). Learner analysis. In </w:t>
      </w:r>
      <w:r w:rsidRPr="66C8C8D7" w:rsidR="5BB69798">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The essentials of instructional design: Connecting fundamental principles with process and practice</w:t>
      </w: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(4th ed., pp. 95–113). Taylor &amp; Francis Group. </w:t>
      </w:r>
      <w:hyperlink r:id="R6f044134b6fb4310">
        <w:r w:rsidRPr="66C8C8D7" w:rsidR="5BB69798">
          <w:rPr>
            <w:rStyle w:val="Hyperlink"/>
            <w:rFonts w:ascii="Times New Roman" w:hAnsi="Times New Roman" w:eastAsia="Times New Roman" w:cs="Times New Roman"/>
            <w:b w:val="0"/>
            <w:bCs w:val="0"/>
            <w:i w:val="0"/>
            <w:iCs w:val="0"/>
            <w:caps w:val="0"/>
            <w:smallCaps w:val="0"/>
            <w:noProof w:val="0"/>
            <w:sz w:val="24"/>
            <w:szCs w:val="24"/>
            <w:lang w:val="en-US"/>
          </w:rPr>
          <w:t>http://ebookcentral.proquest.com/lib/nu/detail.action?docID=5894056</w:t>
        </w:r>
      </w:hyperlink>
    </w:p>
    <w:p w:rsidR="5BB69798" w:rsidP="66C8C8D7" w:rsidRDefault="5BB69798" w14:paraId="4B45A302" w14:textId="74A9ED67">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Brown, A., &amp; Green, T. (2019b). Needs analysis. In </w:t>
      </w:r>
      <w:r w:rsidRPr="66C8C8D7" w:rsidR="5BB69798">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The essentials of instructional design: Connecting fundamental principles with process and practice</w:t>
      </w: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(4th ed., pp. 67–82). Taylor &amp; Francis Group. </w:t>
      </w:r>
      <w:hyperlink r:id="R01af4308e31349b5">
        <w:r w:rsidRPr="66C8C8D7" w:rsidR="5BB69798">
          <w:rPr>
            <w:rStyle w:val="Hyperlink"/>
            <w:rFonts w:ascii="Times New Roman" w:hAnsi="Times New Roman" w:eastAsia="Times New Roman" w:cs="Times New Roman"/>
            <w:b w:val="0"/>
            <w:bCs w:val="0"/>
            <w:i w:val="0"/>
            <w:iCs w:val="0"/>
            <w:caps w:val="0"/>
            <w:smallCaps w:val="0"/>
            <w:noProof w:val="0"/>
            <w:sz w:val="24"/>
            <w:szCs w:val="24"/>
            <w:lang w:val="en-US"/>
          </w:rPr>
          <w:t>http://ebookcentral.proquest.com/lib/nu/detail.action?docID=5894056</w:t>
        </w:r>
      </w:hyperlink>
    </w:p>
    <w:p w:rsidR="5BB69798" w:rsidP="66C8C8D7" w:rsidRDefault="5BB69798" w14:paraId="0548A2CF" w14:textId="6A83A8D0">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Ekoto, C., &amp; Wa-Mbaleka, S. (2024). Online instructional design: Theories, models, and best practices. In Safary Wa-Mbaleka, Kelvin Thompson, &amp; Leni Casimiro (Eds.), </w:t>
      </w:r>
      <w:r w:rsidRPr="66C8C8D7" w:rsidR="5BB69798">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The sage handbook of online higher education</w:t>
      </w: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(pp. 181–193). Sage Publications Ltd. </w:t>
      </w:r>
      <w:hyperlink r:id="R46d55fbe136846ca">
        <w:r w:rsidRPr="66C8C8D7" w:rsidR="5BB69798">
          <w:rPr>
            <w:rStyle w:val="Hyperlink"/>
            <w:rFonts w:ascii="Times New Roman" w:hAnsi="Times New Roman" w:eastAsia="Times New Roman" w:cs="Times New Roman"/>
            <w:b w:val="0"/>
            <w:bCs w:val="0"/>
            <w:i w:val="0"/>
            <w:iCs w:val="0"/>
            <w:caps w:val="0"/>
            <w:smallCaps w:val="0"/>
            <w:noProof w:val="0"/>
            <w:sz w:val="24"/>
            <w:szCs w:val="24"/>
            <w:lang w:val="en-US"/>
          </w:rPr>
          <w:t>https://doi.org/10.4135/9781529673029</w:t>
        </w:r>
      </w:hyperlink>
    </w:p>
    <w:p w:rsidR="5BB69798" w:rsidP="66C8C8D7" w:rsidRDefault="5BB69798" w14:paraId="37DB0ABB" w14:textId="6C122AF8">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Ngampornchai, A., Trail-Constant, T., &amp; Swenson, N. (2021). How students navigate in online classrooms: The link between usability and instructional design best practices. </w:t>
      </w:r>
      <w:r w:rsidRPr="66C8C8D7" w:rsidR="5BB69798">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International JI. On E-Learning</w:t>
      </w: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6C8C8D7" w:rsidR="5BB69798">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20</w:t>
      </w: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(4), 433–457. </w:t>
      </w:r>
      <w:hyperlink r:id="R0c9651407a604fdc">
        <w:r w:rsidRPr="66C8C8D7" w:rsidR="5BB69798">
          <w:rPr>
            <w:rStyle w:val="Hyperlink"/>
            <w:rFonts w:ascii="Times New Roman" w:hAnsi="Times New Roman" w:eastAsia="Times New Roman" w:cs="Times New Roman"/>
            <w:b w:val="0"/>
            <w:bCs w:val="0"/>
            <w:i w:val="0"/>
            <w:iCs w:val="0"/>
            <w:caps w:val="0"/>
            <w:smallCaps w:val="0"/>
            <w:noProof w:val="0"/>
            <w:sz w:val="24"/>
            <w:szCs w:val="24"/>
            <w:lang w:val="en-US"/>
          </w:rPr>
          <w:t>https://doi.org/10.70725/151091uinlek</w:t>
        </w:r>
      </w:hyperlink>
    </w:p>
    <w:p w:rsidR="5BB69798" w:rsidP="66C8C8D7" w:rsidRDefault="5BB69798" w14:paraId="7CEAB9A8" w14:textId="2E270A3E">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Szabo, D., Balmos, J., Veres, C., Truta, R., Constantin, T., Lau-Andries, C.-D., &amp; Adumitrachioaie, H. (2025). Integrating the ASSURE instructional design model in the medical education system: Applications in the anatomy discipline. </w:t>
      </w:r>
      <w:r w:rsidRPr="66C8C8D7" w:rsidR="5BB69798">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Studia Universitatis Babes-Bolyai Psychologia-Paedagogia</w:t>
      </w: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6C8C8D7" w:rsidR="5BB69798">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70</w:t>
      </w:r>
      <w:r w:rsidRPr="66C8C8D7" w:rsidR="5BB697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(2), 193–226. </w:t>
      </w:r>
      <w:hyperlink r:id="R63b863bc2c2149b6">
        <w:r w:rsidRPr="66C8C8D7" w:rsidR="5BB69798">
          <w:rPr>
            <w:rStyle w:val="Hyperlink"/>
            <w:rFonts w:ascii="Times New Roman" w:hAnsi="Times New Roman" w:eastAsia="Times New Roman" w:cs="Times New Roman"/>
            <w:b w:val="0"/>
            <w:bCs w:val="0"/>
            <w:i w:val="0"/>
            <w:iCs w:val="0"/>
            <w:caps w:val="0"/>
            <w:smallCaps w:val="0"/>
            <w:noProof w:val="0"/>
            <w:sz w:val="24"/>
            <w:szCs w:val="24"/>
            <w:lang w:val="en-US"/>
          </w:rPr>
          <w:t>https://doi.org/10.24193/subbpsyped.2025.2.09</w:t>
        </w:r>
      </w:hyperlink>
    </w:p>
    <w:p w:rsidR="66C8C8D7" w:rsidP="66C8C8D7" w:rsidRDefault="66C8C8D7" w14:paraId="1DF048F3" w14:textId="24C78CF1">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DF238D6" w14:textId="74D8AB6E">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A553F18" w:rsidP="66C8C8D7" w:rsidRDefault="6A553F18" w14:paraId="4213ECBA" w14:textId="5C30D716">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A553F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Assessing Student Evaluation Tools</w:t>
      </w:r>
    </w:p>
    <w:p w:rsidR="6A553F18" w:rsidP="66C8C8D7" w:rsidRDefault="6A553F18" w14:paraId="560F21A9" w14:textId="696F7C78">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A553F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Chikodinaka T. Duruaku</w:t>
      </w:r>
    </w:p>
    <w:p w:rsidR="6A553F18" w:rsidP="66C8C8D7" w:rsidRDefault="6A553F18" w14:paraId="42B4DD45" w14:textId="158DC17C">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A553F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Sanford College of Education</w:t>
      </w:r>
    </w:p>
    <w:p w:rsidR="6A553F18" w:rsidP="66C8C8D7" w:rsidRDefault="6A553F18" w14:paraId="06541C80" w14:textId="60C6229E">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A553F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ID 8900v1: Foundations of Instructional Design</w:t>
      </w:r>
    </w:p>
    <w:p w:rsidR="6A553F18" w:rsidP="66C8C8D7" w:rsidRDefault="6A553F18" w14:paraId="1EDD8D04" w14:textId="4F0529AB">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A553F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Dr Jennifer Summerville</w:t>
      </w:r>
    </w:p>
    <w:p w:rsidR="6A553F18" w:rsidP="66C8C8D7" w:rsidRDefault="6A553F18" w14:paraId="50900AB7" w14:textId="561651EF">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A553F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March 7, 2026</w:t>
      </w:r>
    </w:p>
    <w:p w:rsidR="66C8C8D7" w:rsidP="66C8C8D7" w:rsidRDefault="66C8C8D7" w14:paraId="102BC774" w14:textId="54D7A844">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6305E7F3" w14:textId="68ADE30C">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5E036F5" w14:textId="7D732FDB">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BCFB9D3" w14:textId="2D262157">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6A6F40D0" w14:textId="5B92DF36">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6FDD162" w14:textId="7002ED18">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64462D80" w14:textId="71AC8060">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489929CC" w14:textId="0AC20E95">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6CB26E3" w14:textId="13DFA451">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5B6403B3" w14:textId="5EA263F4">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17ACCB9" w14:textId="78AA2DEB">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5AB75D36" w14:textId="4FD4E127">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1282E90" w14:textId="2163F125">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A553F18" w:rsidP="66C8C8D7" w:rsidRDefault="6A553F18" w14:paraId="47A578EC" w14:textId="7B8C9B76">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A553F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Assessing Student Evaluation Tools</w:t>
      </w:r>
    </w:p>
    <w:p w:rsidR="6A553F18" w:rsidP="66C8C8D7" w:rsidRDefault="6A553F18" w14:paraId="064B3587" w14:textId="430F1970">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A553F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According to Brown and Green (2019), evaluation is assessing how well someone or something performs using data, then using those insights to inform decisions about next steps or improvements. Furthermore, they believe that carefully planned evaluations enable instructional designers to refine and enhance their teaching materials, making them more effective for learners. Thoughtful evaluation provides instructional designers with clear insights into what is working and what isn't, helping them make targeted improvements that better support learner needs and boost overall effectiveness. Gharehbagh et al. (2022) explain that assessment plays a vital role in education as it measures student progress, guides instruction, and shapes performance. This implies that it helps teachers understand how well students are coping with learning and adjust their teaching if required. Evaluation also provides students with feedback on their performance.</w:t>
      </w:r>
    </w:p>
    <w:p w:rsidR="6A553F18" w:rsidP="66C8C8D7" w:rsidRDefault="6A553F18" w14:paraId="0BFEDAAC" w14:textId="63D41D9F">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A553F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Brown and Green (2019) Mention validity and reliability as two main factors to consider while creating a student evaluation. Carmines and Zeller (1979, as cited in Nguyen and Habok 2023) state that validity is the measurement of what is required, while reliability, as Field (2005, as cited in Nguyen and Habok 2023) refers to the extent to which the same results are generated during measurement. </w:t>
      </w:r>
    </w:p>
    <w:p w:rsidR="6A553F18" w:rsidP="66C8C8D7" w:rsidRDefault="6A553F18" w14:paraId="366350EB" w14:textId="44C26864">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A553F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Three types of learner evaluations are used here to assess the effectiveness of an instructional design. They include: objective test, constructed-response test, and a change in skill. </w:t>
      </w:r>
    </w:p>
    <w:p w:rsidR="6A553F18" w:rsidP="66C8C8D7" w:rsidRDefault="6A553F18" w14:paraId="3D5CAB3D" w14:textId="0E23E9D8">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A553F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Examples of objective tests include true/false, multiple-choice, matching, and short-answer items. Examples of constructed-response tests include essay items, while examples of a change in skill include direct testing, performance ratings, observation, anecdotal records, and portfolios (Brown &amp; Green, 2019). </w:t>
      </w:r>
    </w:p>
    <w:p w:rsidR="6A553F18" w:rsidP="66C8C8D7" w:rsidRDefault="6A553F18" w14:paraId="29897869" w14:textId="5ADB11E6">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A553F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 table of learner evaluation types, with examples, is provided below.</w:t>
      </w:r>
    </w:p>
    <w:p w:rsidR="6A553F18" w:rsidP="66C8C8D7" w:rsidRDefault="6A553F18" w14:paraId="3ED9D055" w14:textId="232E7C52">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A553F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(Table 1)</w:t>
      </w:r>
    </w:p>
    <w:p w:rsidR="6A553F18" w:rsidP="66C8C8D7" w:rsidRDefault="6A553F18" w14:paraId="13F6B560" w14:textId="6E770843">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A553F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Table 1</w:t>
      </w:r>
    </w:p>
    <w:p w:rsidR="6A553F18" w:rsidP="66C8C8D7" w:rsidRDefault="6A553F18" w14:paraId="286F1838" w14:textId="71768566">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A553F18">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Types of Learner Evaluations</w:t>
      </w:r>
    </w:p>
    <w:tbl>
      <w:tblPr>
        <w:tblStyle w:val="TableNormal"/>
        <w:bidiVisual w:val="0"/>
        <w:tblW w:w="0" w:type="auto"/>
        <w:tblInd w:w="150" w:type="dxa"/>
        <w:tblBorders>
          <w:top w:val="single" w:sz="6"/>
          <w:left w:val="single" w:sz="6"/>
          <w:bottom w:val="single" w:sz="6"/>
          <w:right w:val="single" w:sz="6"/>
        </w:tblBorders>
        <w:tblLook w:val="04A0" w:firstRow="1" w:lastRow="0" w:firstColumn="1" w:lastColumn="0" w:noHBand="0" w:noVBand="1"/>
      </w:tblPr>
      <w:tblGrid>
        <w:gridCol w:w="3300"/>
        <w:gridCol w:w="2730"/>
        <w:gridCol w:w="3300"/>
      </w:tblGrid>
      <w:tr w:rsidR="66C8C8D7" w:rsidTr="66C8C8D7" w14:paraId="151BC9AE">
        <w:trPr>
          <w:trHeight w:val="975"/>
        </w:trPr>
        <w:tc>
          <w:tcPr>
            <w:tcW w:w="3300" w:type="dxa"/>
            <w:tcBorders>
              <w:top w:val="single" w:color="000000" w:themeColor="text1" w:sz="6"/>
              <w:bottom w:val="single" w:color="000000" w:themeColor="text1" w:sz="6"/>
            </w:tcBorders>
            <w:tcMar>
              <w:left w:w="135" w:type="dxa"/>
              <w:right w:w="135" w:type="dxa"/>
            </w:tcMar>
            <w:vAlign w:val="center"/>
          </w:tcPr>
          <w:p w:rsidR="66C8C8D7" w:rsidP="66C8C8D7" w:rsidRDefault="66C8C8D7" w14:paraId="59BA3333" w14:textId="65E8B062">
            <w:pPr>
              <w:bidi w:val="0"/>
              <w:spacing w:after="0" w:line="480" w:lineRule="auto"/>
              <w:jc w:val="center"/>
              <w:rPr>
                <w:rFonts w:ascii="Times New Roman" w:hAnsi="Times New Roman" w:eastAsia="Times New Roman" w:cs="Times New Roman"/>
                <w:b w:val="0"/>
                <w:bCs w:val="0"/>
                <w:i w:val="0"/>
                <w:iC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olor w:val="000000" w:themeColor="text1" w:themeTint="FF" w:themeShade="FF"/>
                <w:sz w:val="24"/>
                <w:szCs w:val="24"/>
                <w:lang w:val="en-US"/>
              </w:rPr>
              <w:t>Objective Tests</w:t>
            </w:r>
          </w:p>
        </w:tc>
        <w:tc>
          <w:tcPr>
            <w:tcW w:w="2730" w:type="dxa"/>
            <w:tcBorders>
              <w:top w:val="single" w:color="000000" w:themeColor="text1" w:sz="6"/>
              <w:bottom w:val="single" w:color="000000" w:themeColor="text1" w:sz="6"/>
            </w:tcBorders>
            <w:tcMar>
              <w:left w:w="135" w:type="dxa"/>
              <w:right w:w="135" w:type="dxa"/>
            </w:tcMar>
            <w:vAlign w:val="center"/>
          </w:tcPr>
          <w:p w:rsidR="66C8C8D7" w:rsidP="66C8C8D7" w:rsidRDefault="66C8C8D7" w14:paraId="26EAECA4" w14:textId="11A23181">
            <w:pPr>
              <w:bidi w:val="0"/>
              <w:spacing w:after="0" w:line="480" w:lineRule="auto"/>
              <w:jc w:val="center"/>
              <w:rPr>
                <w:rFonts w:ascii="Times New Roman" w:hAnsi="Times New Roman" w:eastAsia="Times New Roman" w:cs="Times New Roman"/>
                <w:b w:val="0"/>
                <w:bCs w:val="0"/>
                <w:i w:val="0"/>
                <w:iC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olor w:val="000000" w:themeColor="text1" w:themeTint="FF" w:themeShade="FF"/>
                <w:sz w:val="24"/>
                <w:szCs w:val="24"/>
                <w:lang w:val="en-US"/>
              </w:rPr>
              <w:t>Constructed-Response Tests</w:t>
            </w:r>
          </w:p>
        </w:tc>
        <w:tc>
          <w:tcPr>
            <w:tcW w:w="3300" w:type="dxa"/>
            <w:tcBorders>
              <w:top w:val="single" w:color="000000" w:themeColor="text1" w:sz="6"/>
              <w:bottom w:val="single" w:color="000000" w:themeColor="text1" w:sz="6"/>
            </w:tcBorders>
            <w:tcMar>
              <w:left w:w="135" w:type="dxa"/>
              <w:right w:w="135" w:type="dxa"/>
            </w:tcMar>
            <w:vAlign w:val="center"/>
          </w:tcPr>
          <w:p w:rsidR="66C8C8D7" w:rsidP="66C8C8D7" w:rsidRDefault="66C8C8D7" w14:paraId="273F6768" w14:textId="16812BBB">
            <w:pPr>
              <w:bidi w:val="0"/>
              <w:spacing w:after="0" w:line="480" w:lineRule="auto"/>
              <w:jc w:val="center"/>
              <w:rPr>
                <w:rFonts w:ascii="Times New Roman" w:hAnsi="Times New Roman" w:eastAsia="Times New Roman" w:cs="Times New Roman"/>
                <w:b w:val="0"/>
                <w:bCs w:val="0"/>
                <w:i w:val="0"/>
                <w:iC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olor w:val="000000" w:themeColor="text1" w:themeTint="FF" w:themeShade="FF"/>
                <w:sz w:val="24"/>
                <w:szCs w:val="24"/>
                <w:lang w:val="en-US"/>
              </w:rPr>
              <w:t>Change in Skill</w:t>
            </w:r>
          </w:p>
        </w:tc>
      </w:tr>
      <w:tr w:rsidR="66C8C8D7" w:rsidTr="66C8C8D7" w14:paraId="67B801A7">
        <w:trPr>
          <w:trHeight w:val="495"/>
        </w:trPr>
        <w:tc>
          <w:tcPr>
            <w:tcW w:w="3300" w:type="dxa"/>
            <w:tcBorders>
              <w:bottom w:val="single" w:color="000000" w:themeColor="text1" w:sz="6"/>
            </w:tcBorders>
            <w:tcMar>
              <w:left w:w="135" w:type="dxa"/>
              <w:right w:w="135" w:type="dxa"/>
            </w:tcMar>
            <w:vAlign w:val="center"/>
          </w:tcPr>
          <w:p w:rsidR="66C8C8D7" w:rsidP="66C8C8D7" w:rsidRDefault="66C8C8D7" w14:paraId="7F3B4DF7" w14:textId="57E9993F">
            <w:pPr>
              <w:bidi w:val="0"/>
              <w:spacing w:after="0" w:line="480" w:lineRule="auto"/>
              <w:ind w:left="150"/>
              <w:rPr>
                <w:rFonts w:ascii="Times New Roman" w:hAnsi="Times New Roman" w:eastAsia="Times New Roman" w:cs="Times New Roman"/>
                <w:b w:val="0"/>
                <w:bCs w:val="0"/>
                <w:i w:val="0"/>
                <w:iC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olor w:val="000000" w:themeColor="text1" w:themeTint="FF" w:themeShade="FF"/>
                <w:sz w:val="24"/>
                <w:szCs w:val="24"/>
                <w:lang w:val="en-US"/>
              </w:rPr>
              <w:t>True/False Items                    </w:t>
            </w:r>
          </w:p>
        </w:tc>
        <w:tc>
          <w:tcPr>
            <w:tcW w:w="2730" w:type="dxa"/>
            <w:tcBorders>
              <w:bottom w:val="single" w:color="000000" w:themeColor="text1" w:sz="6"/>
            </w:tcBorders>
            <w:tcMar>
              <w:left w:w="135" w:type="dxa"/>
              <w:right w:w="135" w:type="dxa"/>
            </w:tcMar>
            <w:vAlign w:val="center"/>
          </w:tcPr>
          <w:p w:rsidR="66C8C8D7" w:rsidP="66C8C8D7" w:rsidRDefault="66C8C8D7" w14:paraId="23149897" w14:textId="269E64DB">
            <w:pPr>
              <w:bidi w:val="0"/>
              <w:spacing w:after="0" w:line="480" w:lineRule="auto"/>
              <w:rPr>
                <w:rFonts w:ascii="Times New Roman" w:hAnsi="Times New Roman" w:eastAsia="Times New Roman" w:cs="Times New Roman"/>
                <w:b w:val="0"/>
                <w:bCs w:val="0"/>
                <w:i w:val="0"/>
                <w:iC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olor w:val="000000" w:themeColor="text1" w:themeTint="FF" w:themeShade="FF"/>
                <w:sz w:val="24"/>
                <w:szCs w:val="24"/>
                <w:lang w:val="en-US"/>
              </w:rPr>
              <w:t>Essay Items</w:t>
            </w:r>
          </w:p>
        </w:tc>
        <w:tc>
          <w:tcPr>
            <w:tcW w:w="3300" w:type="dxa"/>
            <w:tcBorders>
              <w:bottom w:val="single" w:color="000000" w:themeColor="text1" w:sz="6"/>
            </w:tcBorders>
            <w:tcMar>
              <w:left w:w="135" w:type="dxa"/>
              <w:right w:w="135" w:type="dxa"/>
            </w:tcMar>
            <w:vAlign w:val="center"/>
          </w:tcPr>
          <w:p w:rsidR="66C8C8D7" w:rsidP="66C8C8D7" w:rsidRDefault="66C8C8D7" w14:paraId="02B90B86" w14:textId="35845FCB">
            <w:pPr>
              <w:bidi w:val="0"/>
              <w:spacing w:after="0" w:line="480" w:lineRule="auto"/>
              <w:rPr>
                <w:rFonts w:ascii="Times New Roman" w:hAnsi="Times New Roman" w:eastAsia="Times New Roman" w:cs="Times New Roman"/>
                <w:b w:val="0"/>
                <w:bCs w:val="0"/>
                <w:i w:val="0"/>
                <w:iC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olor w:val="000000" w:themeColor="text1" w:themeTint="FF" w:themeShade="FF"/>
                <w:sz w:val="24"/>
                <w:szCs w:val="24"/>
                <w:lang w:val="en-US"/>
              </w:rPr>
              <w:t>Direct Testing</w:t>
            </w:r>
          </w:p>
        </w:tc>
      </w:tr>
      <w:tr w:rsidR="66C8C8D7" w:rsidTr="66C8C8D7" w14:paraId="09415C55">
        <w:trPr>
          <w:trHeight w:val="495"/>
        </w:trPr>
        <w:tc>
          <w:tcPr>
            <w:tcW w:w="3300" w:type="dxa"/>
            <w:tcBorders>
              <w:bottom w:val="single" w:color="000000" w:themeColor="text1" w:sz="6"/>
            </w:tcBorders>
            <w:tcMar>
              <w:left w:w="135" w:type="dxa"/>
              <w:right w:w="135" w:type="dxa"/>
            </w:tcMar>
            <w:vAlign w:val="center"/>
          </w:tcPr>
          <w:p w:rsidR="66C8C8D7" w:rsidP="66C8C8D7" w:rsidRDefault="66C8C8D7" w14:paraId="63F5B114" w14:textId="36A45721">
            <w:pPr>
              <w:bidi w:val="0"/>
              <w:spacing w:after="0" w:line="480" w:lineRule="auto"/>
              <w:rPr>
                <w:rFonts w:ascii="Times New Roman" w:hAnsi="Times New Roman" w:eastAsia="Times New Roman" w:cs="Times New Roman"/>
                <w:b w:val="0"/>
                <w:bCs w:val="0"/>
                <w:i w:val="0"/>
                <w:iC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olor w:val="000000" w:themeColor="text1" w:themeTint="FF" w:themeShade="FF"/>
                <w:sz w:val="24"/>
                <w:szCs w:val="24"/>
                <w:lang w:val="en-US"/>
              </w:rPr>
              <w:t>Multiple-Choice Items</w:t>
            </w:r>
          </w:p>
        </w:tc>
        <w:tc>
          <w:tcPr>
            <w:tcW w:w="2730" w:type="dxa"/>
            <w:tcBorders>
              <w:bottom w:val="single" w:color="000000" w:themeColor="text1" w:sz="6"/>
            </w:tcBorders>
            <w:tcMar>
              <w:left w:w="135" w:type="dxa"/>
              <w:right w:w="135" w:type="dxa"/>
            </w:tcMar>
            <w:vAlign w:val="center"/>
          </w:tcPr>
          <w:p w:rsidR="66C8C8D7" w:rsidP="66C8C8D7" w:rsidRDefault="66C8C8D7" w14:paraId="4B8A6FEB" w14:textId="60C8C590">
            <w:pPr>
              <w:bidi w:val="0"/>
              <w:spacing w:after="0" w:line="480" w:lineRule="auto"/>
              <w:rPr>
                <w:rFonts w:ascii="Times New Roman" w:hAnsi="Times New Roman" w:eastAsia="Times New Roman" w:cs="Times New Roman"/>
                <w:b w:val="0"/>
                <w:bCs w:val="0"/>
                <w:i w:val="0"/>
                <w:iCs w:val="0"/>
                <w:color w:val="000000" w:themeColor="text1" w:themeTint="FF" w:themeShade="FF"/>
                <w:sz w:val="24"/>
                <w:szCs w:val="24"/>
              </w:rPr>
            </w:pPr>
          </w:p>
        </w:tc>
        <w:tc>
          <w:tcPr>
            <w:tcW w:w="3300" w:type="dxa"/>
            <w:tcBorders>
              <w:bottom w:val="single" w:color="000000" w:themeColor="text1" w:sz="6"/>
            </w:tcBorders>
            <w:tcMar>
              <w:left w:w="135" w:type="dxa"/>
              <w:right w:w="135" w:type="dxa"/>
            </w:tcMar>
            <w:vAlign w:val="center"/>
          </w:tcPr>
          <w:p w:rsidR="66C8C8D7" w:rsidP="66C8C8D7" w:rsidRDefault="66C8C8D7" w14:paraId="3C31CFC6" w14:textId="58BF07AD">
            <w:pPr>
              <w:bidi w:val="0"/>
              <w:spacing w:after="0" w:line="480" w:lineRule="auto"/>
              <w:rPr>
                <w:rFonts w:ascii="Times New Roman" w:hAnsi="Times New Roman" w:eastAsia="Times New Roman" w:cs="Times New Roman"/>
                <w:b w:val="0"/>
                <w:bCs w:val="0"/>
                <w:i w:val="0"/>
                <w:iC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olor w:val="000000" w:themeColor="text1" w:themeTint="FF" w:themeShade="FF"/>
                <w:sz w:val="24"/>
                <w:szCs w:val="24"/>
                <w:lang w:val="en-US"/>
              </w:rPr>
              <w:t>Performance Ratings</w:t>
            </w:r>
          </w:p>
        </w:tc>
      </w:tr>
      <w:tr w:rsidR="66C8C8D7" w:rsidTr="66C8C8D7" w14:paraId="5D5ABB69">
        <w:trPr>
          <w:trHeight w:val="975"/>
        </w:trPr>
        <w:tc>
          <w:tcPr>
            <w:tcW w:w="3300" w:type="dxa"/>
            <w:tcBorders>
              <w:bottom w:val="single" w:color="000000" w:themeColor="text1" w:sz="6"/>
            </w:tcBorders>
            <w:tcMar>
              <w:left w:w="135" w:type="dxa"/>
              <w:right w:w="135" w:type="dxa"/>
            </w:tcMar>
            <w:vAlign w:val="center"/>
          </w:tcPr>
          <w:p w:rsidR="66C8C8D7" w:rsidP="66C8C8D7" w:rsidRDefault="66C8C8D7" w14:paraId="364E5823" w14:textId="4FEAA47D">
            <w:pPr>
              <w:bidi w:val="0"/>
              <w:spacing w:after="0" w:line="480" w:lineRule="auto"/>
              <w:rPr>
                <w:rFonts w:ascii="Times New Roman" w:hAnsi="Times New Roman" w:eastAsia="Times New Roman" w:cs="Times New Roman"/>
                <w:b w:val="0"/>
                <w:bCs w:val="0"/>
                <w:i w:val="0"/>
                <w:iC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olor w:val="000000" w:themeColor="text1" w:themeTint="FF" w:themeShade="FF"/>
                <w:sz w:val="24"/>
                <w:szCs w:val="24"/>
                <w:lang w:val="en-US"/>
              </w:rPr>
              <w:t>Matching Items</w:t>
            </w:r>
          </w:p>
        </w:tc>
        <w:tc>
          <w:tcPr>
            <w:tcW w:w="2730" w:type="dxa"/>
            <w:tcBorders>
              <w:bottom w:val="single" w:color="000000" w:themeColor="text1" w:sz="6"/>
            </w:tcBorders>
            <w:tcMar>
              <w:left w:w="135" w:type="dxa"/>
              <w:right w:w="135" w:type="dxa"/>
            </w:tcMar>
            <w:vAlign w:val="center"/>
          </w:tcPr>
          <w:p w:rsidR="66C8C8D7" w:rsidP="66C8C8D7" w:rsidRDefault="66C8C8D7" w14:paraId="6E97B760" w14:textId="5577140F">
            <w:pPr>
              <w:bidi w:val="0"/>
              <w:spacing w:after="0" w:line="480" w:lineRule="auto"/>
              <w:rPr>
                <w:rFonts w:ascii="Times New Roman" w:hAnsi="Times New Roman" w:eastAsia="Times New Roman" w:cs="Times New Roman"/>
                <w:b w:val="0"/>
                <w:bCs w:val="0"/>
                <w:i w:val="0"/>
                <w:iC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olor w:val="000000" w:themeColor="text1" w:themeTint="FF" w:themeShade="FF"/>
                <w:sz w:val="24"/>
                <w:szCs w:val="24"/>
                <w:lang w:val="en-US"/>
              </w:rPr>
              <w:t> </w:t>
            </w:r>
          </w:p>
        </w:tc>
        <w:tc>
          <w:tcPr>
            <w:tcW w:w="3300" w:type="dxa"/>
            <w:tcBorders>
              <w:bottom w:val="single" w:color="000000" w:themeColor="text1" w:sz="6"/>
            </w:tcBorders>
            <w:tcMar>
              <w:left w:w="135" w:type="dxa"/>
              <w:right w:w="135" w:type="dxa"/>
            </w:tcMar>
            <w:vAlign w:val="center"/>
          </w:tcPr>
          <w:p w:rsidR="66C8C8D7" w:rsidP="66C8C8D7" w:rsidRDefault="66C8C8D7" w14:paraId="76D38397" w14:textId="0DF75698">
            <w:pPr>
              <w:bidi w:val="0"/>
              <w:spacing w:after="0" w:line="480" w:lineRule="auto"/>
              <w:rPr>
                <w:rFonts w:ascii="Times New Roman" w:hAnsi="Times New Roman" w:eastAsia="Times New Roman" w:cs="Times New Roman"/>
                <w:b w:val="0"/>
                <w:bCs w:val="0"/>
                <w:i w:val="0"/>
                <w:iC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olor w:val="000000" w:themeColor="text1" w:themeTint="FF" w:themeShade="FF"/>
                <w:sz w:val="24"/>
                <w:szCs w:val="24"/>
                <w:lang w:val="en-US"/>
              </w:rPr>
              <w:t>Observations and Anecdotal Records</w:t>
            </w:r>
          </w:p>
        </w:tc>
      </w:tr>
      <w:tr w:rsidR="66C8C8D7" w:rsidTr="66C8C8D7" w14:paraId="5F3EA5D6">
        <w:trPr>
          <w:trHeight w:val="495"/>
        </w:trPr>
        <w:tc>
          <w:tcPr>
            <w:tcW w:w="3300" w:type="dxa"/>
            <w:tcBorders>
              <w:bottom w:val="single" w:color="000000" w:themeColor="text1" w:sz="6"/>
            </w:tcBorders>
            <w:tcMar>
              <w:left w:w="135" w:type="dxa"/>
              <w:right w:w="135" w:type="dxa"/>
            </w:tcMar>
            <w:vAlign w:val="center"/>
          </w:tcPr>
          <w:p w:rsidR="66C8C8D7" w:rsidP="66C8C8D7" w:rsidRDefault="66C8C8D7" w14:paraId="6EAB58F2" w14:textId="7662F71A">
            <w:pPr>
              <w:bidi w:val="0"/>
              <w:spacing w:after="0" w:line="480" w:lineRule="auto"/>
              <w:rPr>
                <w:rFonts w:ascii="Times New Roman" w:hAnsi="Times New Roman" w:eastAsia="Times New Roman" w:cs="Times New Roman"/>
                <w:b w:val="0"/>
                <w:bCs w:val="0"/>
                <w:i w:val="0"/>
                <w:iC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olor w:val="000000" w:themeColor="text1" w:themeTint="FF" w:themeShade="FF"/>
                <w:sz w:val="24"/>
                <w:szCs w:val="24"/>
                <w:lang w:val="en-US"/>
              </w:rPr>
              <w:t>Short-Answer Items</w:t>
            </w:r>
          </w:p>
        </w:tc>
        <w:tc>
          <w:tcPr>
            <w:tcW w:w="2730" w:type="dxa"/>
            <w:tcBorders>
              <w:bottom w:val="single" w:color="000000" w:themeColor="text1" w:sz="6"/>
            </w:tcBorders>
            <w:tcMar>
              <w:left w:w="135" w:type="dxa"/>
              <w:right w:w="135" w:type="dxa"/>
            </w:tcMar>
            <w:vAlign w:val="center"/>
          </w:tcPr>
          <w:p w:rsidR="66C8C8D7" w:rsidP="66C8C8D7" w:rsidRDefault="66C8C8D7" w14:paraId="66F3625F" w14:textId="0A017A36">
            <w:pPr>
              <w:bidi w:val="0"/>
              <w:spacing w:after="0" w:line="480" w:lineRule="auto"/>
              <w:rPr>
                <w:rFonts w:ascii="Times New Roman" w:hAnsi="Times New Roman" w:eastAsia="Times New Roman" w:cs="Times New Roman"/>
                <w:b w:val="0"/>
                <w:bCs w:val="0"/>
                <w:i w:val="0"/>
                <w:iC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olor w:val="000000" w:themeColor="text1" w:themeTint="FF" w:themeShade="FF"/>
                <w:sz w:val="24"/>
                <w:szCs w:val="24"/>
                <w:lang w:val="en-US"/>
              </w:rPr>
              <w:t> </w:t>
            </w:r>
          </w:p>
        </w:tc>
        <w:tc>
          <w:tcPr>
            <w:tcW w:w="3300" w:type="dxa"/>
            <w:tcBorders>
              <w:bottom w:val="single" w:color="000000" w:themeColor="text1" w:sz="6"/>
            </w:tcBorders>
            <w:tcMar>
              <w:left w:w="135" w:type="dxa"/>
              <w:right w:w="135" w:type="dxa"/>
            </w:tcMar>
            <w:vAlign w:val="center"/>
          </w:tcPr>
          <w:p w:rsidR="66C8C8D7" w:rsidP="66C8C8D7" w:rsidRDefault="66C8C8D7" w14:paraId="454C8A67" w14:textId="55578646">
            <w:pPr>
              <w:bidi w:val="0"/>
              <w:spacing w:after="0" w:line="480" w:lineRule="auto"/>
              <w:rPr>
                <w:rFonts w:ascii="Times New Roman" w:hAnsi="Times New Roman" w:eastAsia="Times New Roman" w:cs="Times New Roman"/>
                <w:b w:val="0"/>
                <w:bCs w:val="0"/>
                <w:i w:val="0"/>
                <w:iCs w:val="0"/>
                <w:color w:val="000000" w:themeColor="text1" w:themeTint="FF" w:themeShade="FF"/>
                <w:sz w:val="24"/>
                <w:szCs w:val="24"/>
              </w:rPr>
            </w:pPr>
            <w:r w:rsidRPr="66C8C8D7" w:rsidR="66C8C8D7">
              <w:rPr>
                <w:rFonts w:ascii="Times New Roman" w:hAnsi="Times New Roman" w:eastAsia="Times New Roman" w:cs="Times New Roman"/>
                <w:b w:val="0"/>
                <w:bCs w:val="0"/>
                <w:i w:val="0"/>
                <w:iCs w:val="0"/>
                <w:color w:val="000000" w:themeColor="text1" w:themeTint="FF" w:themeShade="FF"/>
                <w:sz w:val="24"/>
                <w:szCs w:val="24"/>
                <w:lang w:val="en-US"/>
              </w:rPr>
              <w:t>Portfolios</w:t>
            </w:r>
          </w:p>
        </w:tc>
      </w:tr>
    </w:tbl>
    <w:p w:rsidR="54AD02FF" w:rsidP="66C8C8D7" w:rsidRDefault="54AD02FF" w14:paraId="353BD761" w14:textId="18BF1800">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4AD02F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54AD02FF" w:rsidP="66C8C8D7" w:rsidRDefault="54AD02FF" w14:paraId="1395EF19" w14:textId="1A645C76">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54AD02F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(Brown &amp; Green, 2019)</w:t>
      </w:r>
    </w:p>
    <w:p w:rsidR="66C8C8D7" w:rsidP="66C8C8D7" w:rsidRDefault="66C8C8D7" w14:paraId="3664B739" w14:textId="443A29CB">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7E7D6FB7" w14:textId="2CB230CB">
      <w:pPr>
        <w:bidi w:val="0"/>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16185CDA" w14:textId="18BD5B84">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3F938ED0" w14:textId="770253F2">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DFD3253" w14:textId="007E1287">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28B9093" w14:textId="505A4B65">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546F2038" w14:textId="214AC481">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3CA06D04" w14:textId="19F65B6C">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F123B13" w14:textId="77CF653B">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31D4E91" w14:textId="3162AA44">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197E7D30" w:rsidP="66C8C8D7" w:rsidRDefault="197E7D30" w14:paraId="2D17B3CB" w14:textId="65A19E30">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197E7D30">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References</w:t>
      </w:r>
    </w:p>
    <w:p w:rsidR="197E7D30" w:rsidP="66C8C8D7" w:rsidRDefault="197E7D30" w14:paraId="0039A3DE" w14:textId="1AEC8448">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197E7D3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Brown, H., &amp; Green, T. (2019). Evaluating learning assessment. In </w:t>
      </w:r>
      <w:r w:rsidRPr="66C8C8D7" w:rsidR="197E7D30">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The essentials of instructional design: Connecting fundamental principles with process and practice</w:t>
      </w:r>
      <w:r w:rsidRPr="66C8C8D7" w:rsidR="197E7D3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(pp. 164–209). Taylor &amp; Francis Group.</w:t>
      </w:r>
    </w:p>
    <w:p w:rsidR="197E7D30" w:rsidP="66C8C8D7" w:rsidRDefault="197E7D30" w14:paraId="441CC539" w14:textId="512579D3">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197E7D3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Gharehbagh, Z., Mansourzadeh, A., Khadem, A., &amp; Saeidi, M. (2022). Reflections on using open-ended questions. </w:t>
      </w:r>
      <w:r w:rsidRPr="66C8C8D7" w:rsidR="197E7D30">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Med Edu Bull</w:t>
      </w:r>
      <w:r w:rsidRPr="66C8C8D7" w:rsidR="197E7D3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6C8C8D7" w:rsidR="197E7D30">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3</w:t>
      </w:r>
      <w:r w:rsidRPr="66C8C8D7" w:rsidR="197E7D3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(2), 475–482. </w:t>
      </w:r>
      <w:hyperlink r:id="Rcf6e07fca00e459f">
        <w:r w:rsidRPr="66C8C8D7" w:rsidR="197E7D30">
          <w:rPr>
            <w:rStyle w:val="Hyperlink"/>
            <w:rFonts w:ascii="Times New Roman" w:hAnsi="Times New Roman" w:eastAsia="Times New Roman" w:cs="Times New Roman"/>
            <w:b w:val="0"/>
            <w:bCs w:val="0"/>
            <w:i w:val="0"/>
            <w:iCs w:val="0"/>
            <w:caps w:val="0"/>
            <w:smallCaps w:val="0"/>
            <w:noProof w:val="0"/>
            <w:sz w:val="24"/>
            <w:szCs w:val="24"/>
            <w:lang w:val="en-US"/>
          </w:rPr>
          <w:t>https://doi.org/10.22034/MEB.2022.333518.1054</w:t>
        </w:r>
      </w:hyperlink>
    </w:p>
    <w:p w:rsidR="197E7D30" w:rsidP="66C8C8D7" w:rsidRDefault="197E7D30" w14:paraId="3EAE2D0E" w14:textId="631963F3">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197E7D3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Nguyen, L., &amp; Habok, A. (2023). Tools for assessing teacher digital literacy: A review. </w:t>
      </w:r>
      <w:r w:rsidRPr="66C8C8D7" w:rsidR="197E7D30">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Journals of Computer in Education</w:t>
      </w:r>
      <w:r w:rsidRPr="66C8C8D7" w:rsidR="197E7D3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6C8C8D7" w:rsidR="197E7D30">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11</w:t>
      </w:r>
      <w:r w:rsidRPr="66C8C8D7" w:rsidR="197E7D3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(1), 305–346. </w:t>
      </w:r>
      <w:hyperlink r:id="R93a45530ffa04246">
        <w:r w:rsidRPr="66C8C8D7" w:rsidR="197E7D30">
          <w:rPr>
            <w:rStyle w:val="Hyperlink"/>
            <w:rFonts w:ascii="Times New Roman" w:hAnsi="Times New Roman" w:eastAsia="Times New Roman" w:cs="Times New Roman"/>
            <w:b w:val="0"/>
            <w:bCs w:val="0"/>
            <w:i w:val="0"/>
            <w:iCs w:val="0"/>
            <w:caps w:val="0"/>
            <w:smallCaps w:val="0"/>
            <w:noProof w:val="0"/>
            <w:sz w:val="24"/>
            <w:szCs w:val="24"/>
            <w:lang w:val="en-US"/>
          </w:rPr>
          <w:t>https://doi.org/10.1007/s40692-022-00257-5</w:t>
        </w:r>
      </w:hyperlink>
    </w:p>
    <w:p w:rsidR="66C8C8D7" w:rsidP="66C8C8D7" w:rsidRDefault="66C8C8D7" w14:paraId="43991A1E" w14:textId="199F51E6">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20309766" w14:textId="40C1FAAA">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B849FE3" w14:textId="3CA8B228">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54C27698" w14:textId="461B6295">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39E06325" w14:textId="73D90ECE">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F49F372" w14:textId="10DFA81D">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F423C6B" w14:textId="5355F417">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56D4F68F" w14:textId="7BFFECB8">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2563C24" w14:textId="5792A861">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6EB572BE" w14:textId="5C51456E">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47C2AFCC" w14:textId="1F1544CD">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4EE580E" w:rsidP="66C8C8D7" w:rsidRDefault="64EE580E" w14:paraId="760EB731" w14:textId="7BC57F71">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4EE580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To Create a Welcome Announcement for My E-Portfolio </w:t>
      </w:r>
    </w:p>
    <w:p w:rsidR="64EE580E" w:rsidP="66C8C8D7" w:rsidRDefault="64EE580E" w14:paraId="2B270BE3" w14:textId="6530FAAE">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4EE580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Chikodinaka T. Duruaku</w:t>
      </w:r>
    </w:p>
    <w:p w:rsidR="64EE580E" w:rsidP="66C8C8D7" w:rsidRDefault="64EE580E" w14:paraId="30343997" w14:textId="3C9D7DF6">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4EE580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Sanford College of Education</w:t>
      </w:r>
    </w:p>
    <w:p w:rsidR="64EE580E" w:rsidP="66C8C8D7" w:rsidRDefault="64EE580E" w14:paraId="653FF4DC" w14:textId="50466782">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4EE580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ID8900v1: Foundations of Instructional Design </w:t>
      </w:r>
    </w:p>
    <w:p w:rsidR="64EE580E" w:rsidP="66C8C8D7" w:rsidRDefault="64EE580E" w14:paraId="0D2EF1C3" w14:textId="61F4C5F5">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4EE580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Dr. Jennifer Summerville</w:t>
      </w:r>
    </w:p>
    <w:p w:rsidR="64EE580E" w:rsidP="66C8C8D7" w:rsidRDefault="64EE580E" w14:paraId="165A2923" w14:textId="3DB67A87">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64EE580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March 14, 2026</w:t>
      </w:r>
    </w:p>
    <w:p w:rsidR="66C8C8D7" w:rsidP="66C8C8D7" w:rsidRDefault="66C8C8D7" w14:paraId="18038435" w14:textId="3FE34322">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14F93590" w14:textId="13C6B486">
      <w:pPr>
        <w:bidi w:val="0"/>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2C9A39D7" w14:textId="412F314C">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4D0A408" w14:textId="0485B1E9">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A47CBC2" w14:textId="02B3CEDD">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BF4967C" w14:textId="00E54B5F">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118C0D4" w14:textId="0CC8089A">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48102CFA" w14:textId="5F7912D6">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07C9368" w14:textId="6484D07B">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93052C4" w14:textId="76B8B85D">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9EF161B" w14:textId="79A8697C">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4F611701" w14:textId="2F2114A4">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6014F42" w14:textId="4F0F49C8">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FFF49C7" w14:textId="59D12D1C">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487A2BA6" w:rsidP="66C8C8D7" w:rsidRDefault="487A2BA6" w14:paraId="23F1B6E8" w14:textId="5F667C3B">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87A2BA6">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To Create a Welcome Announcement for My E-Portfolio </w:t>
      </w:r>
    </w:p>
    <w:p w:rsidR="487A2BA6" w:rsidP="66C8C8D7" w:rsidRDefault="487A2BA6" w14:paraId="2745D7D7" w14:textId="2D8E1CB2">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87A2BA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Hi there!</w:t>
      </w:r>
    </w:p>
    <w:p w:rsidR="487A2BA6" w:rsidP="66C8C8D7" w:rsidRDefault="487A2BA6" w14:paraId="15F48BCC" w14:textId="1D9D3FAB">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87A2BA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 am Chika Duruaku, a graduate student in instructional design, dedicated to exploring and learning how to create meaningful, learner-centered experiences. My choice to study Instructional Design was to provide engaging, coherent instruction that helps learners succeed. I've seen how structure, clarity, and engagement directly impact student success as an educator. This course will empower me to use evidence-based strategies to create meaningful, inclusive, and effective learning experiences. I will use three sample courses in weeks 3, 4, and 5 to announce my e-portfolio. A reflection will be presented afterwards.</w:t>
      </w:r>
    </w:p>
    <w:p w:rsidR="487A2BA6" w:rsidP="66C8C8D7" w:rsidRDefault="487A2BA6" w14:paraId="6C53263F" w14:textId="47D77394">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87A2BA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My learning progress - Week 3: The topic for this week was on collaborative instructional design. I scheduled a virtual meeting with my instructor, Dr. Jennifer B. Summerville. The learning objective was to explore current and future expectations and trends in instructional design.  I recorded a video to reflect on this synchronous dialogue. See the link in </w:t>
      </w:r>
      <w:hyperlink r:id="R2defb96a483249c6">
        <w:r w:rsidRPr="66C8C8D7" w:rsidR="487A2BA6">
          <w:rPr>
            <w:rStyle w:val="Hyperlink"/>
            <w:rFonts w:ascii="Times New Roman" w:hAnsi="Times New Roman" w:eastAsia="Times New Roman" w:cs="Times New Roman"/>
            <w:b w:val="0"/>
            <w:bCs w:val="0"/>
            <w:i w:val="0"/>
            <w:iCs w:val="0"/>
            <w:caps w:val="0"/>
            <w:smallCaps w:val="0"/>
            <w:strike w:val="0"/>
            <w:dstrike w:val="0"/>
            <w:noProof w:val="0"/>
            <w:color w:val="0000FF"/>
            <w:sz w:val="24"/>
            <w:szCs w:val="24"/>
            <w:u w:val="single"/>
            <w:lang w:val="en-US"/>
          </w:rPr>
          <w:t>Reflection on synchronous dialogue</w:t>
        </w:r>
      </w:hyperlink>
    </w:p>
    <w:p w:rsidR="487A2BA6" w:rsidP="66C8C8D7" w:rsidRDefault="487A2BA6" w14:paraId="3C1CFCB2" w14:textId="0F6160BB">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87A2BA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 had about 5 questions, and my instructor provided explanations for each. It was interesting to learn that she had helped design the ID courses, 8900 and 8910. I learned the importance of a culture of diversity in instructional design, as it helps an instructional designer to gain many perspectives in the design of instruction. I also learned that broken links can be fixed very quickly. I hope to do this someday as an instructional designer. </w:t>
      </w:r>
    </w:p>
    <w:p w:rsidR="487A2BA6" w:rsidP="66C8C8D7" w:rsidRDefault="487A2BA6" w14:paraId="3AA42EDB" w14:textId="460E466C">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87A2BA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My learning Progress - Week 4: The topic for this week was to create an instructional design best practices poster. The learning objective is to examine instructional materials that align with the professional practice of instructional design. I had chosen five journals to evaluate their adherence to best practices in instructional design. The best practices identified include: easy course navigation for students, provision of module objectives, use of multimedia, and consideration of students' entry skills, characteristics, and learning environments. See the poster design below </w:t>
      </w:r>
    </w:p>
    <w:p w:rsidR="487A2BA6" w:rsidP="66C8C8D7" w:rsidRDefault="487A2BA6" w14:paraId="70BE7B70" w14:textId="7DF2BA8F">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87A2BA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(Figure 1)</w:t>
      </w:r>
    </w:p>
    <w:p w:rsidR="487A2BA6" w:rsidP="66C8C8D7" w:rsidRDefault="487A2BA6" w14:paraId="3D618EE8" w14:textId="4580E466">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87A2BA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487A2BA6" w:rsidP="66C8C8D7" w:rsidRDefault="487A2BA6" w14:paraId="65790083" w14:textId="43C23A1D">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87A2BA6">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Figure 1</w:t>
      </w:r>
    </w:p>
    <w:p w:rsidR="487A2BA6" w:rsidP="66C8C8D7" w:rsidRDefault="487A2BA6" w14:paraId="5647D791" w14:textId="4E4D8F10">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87A2BA6">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Instructional Design Best Practices Poster</w:t>
      </w:r>
    </w:p>
    <w:p w:rsidR="487A2BA6" w:rsidP="66C8C8D7" w:rsidRDefault="487A2BA6" w14:paraId="441DADB4" w14:textId="79BAE767">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487A2BA6">
        <w:drawing>
          <wp:inline wp14:editId="0510842A" wp14:anchorId="5D4E0DD2">
            <wp:extent cx="4200525" cy="2457450"/>
            <wp:effectExtent l="0" t="0" r="0" b="0"/>
            <wp:docPr id="55797358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57973580" name="Picture 557973580"/>
                    <pic:cNvPicPr/>
                  </pic:nvPicPr>
                  <pic:blipFill>
                    <a:blip xmlns:r="http://schemas.openxmlformats.org/officeDocument/2006/relationships" r:embed="rId2068013857">
                      <a:extLst>
                        <a:ext uri="{28A0092B-C50C-407E-A947-70E740481C1C}">
                          <a14:useLocalDpi xmlns:a14="http://schemas.microsoft.com/office/drawing/2010/main"/>
                        </a:ext>
                      </a:extLst>
                    </a:blip>
                    <a:stretch>
                      <a:fillRect/>
                    </a:stretch>
                  </pic:blipFill>
                  <pic:spPr>
                    <a:xfrm>
                      <a:off x="0" y="0"/>
                      <a:ext cx="4200525" cy="2457450"/>
                    </a:xfrm>
                    <a:prstGeom prst="rect">
                      <a:avLst/>
                    </a:prstGeom>
                  </pic:spPr>
                </pic:pic>
              </a:graphicData>
            </a:graphic>
          </wp:inline>
        </w:drawing>
      </w:r>
    </w:p>
    <w:p w:rsidR="487A2BA6" w:rsidP="66C8C8D7" w:rsidRDefault="487A2BA6" w14:paraId="2C9F9EA6" w14:textId="37EE4428">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87A2BA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487A2BA6" w:rsidP="66C8C8D7" w:rsidRDefault="487A2BA6" w14:paraId="6FE02B28" w14:textId="6EE08386">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87A2BA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w:rsidR="487A2BA6" w:rsidP="66C8C8D7" w:rsidRDefault="487A2BA6" w14:paraId="1BAD39A0" w14:textId="4063445F">
      <w:pPr>
        <w:bidi w:val="0"/>
        <w:spacing w:after="0" w:line="48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87A2BA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According to Brown and Green (2019), knowledge of learner characteristics will guide the design of effective instruction.</w:t>
      </w:r>
    </w:p>
    <w:p w:rsidR="487A2BA6" w:rsidP="66C8C8D7" w:rsidRDefault="487A2BA6" w14:paraId="3DA8D131" w14:textId="4A977781">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87A2BA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My learning Progress - Week 5: The topic this week was assessing student evaluation tools. Learning objective is to recommend instructional and training solutions based on assessment and evaluation data. The different types of learner evaluation - objective tests, constructed-response tests, and a change in skill were analyzed. An instructor considers the learner's objectives to guide the design of an appropriate learner evaluation. Gharehbagh et al. (2022) explain that assessment plays a vital role in education as it measures student progress, guides instruction, and shapes performance.</w:t>
      </w:r>
    </w:p>
    <w:p w:rsidR="487A2BA6" w:rsidP="66C8C8D7" w:rsidRDefault="487A2BA6" w14:paraId="785B2D82" w14:textId="7121C22B">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87A2BA6">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Reflections</w:t>
      </w:r>
    </w:p>
    <w:p w:rsidR="487A2BA6" w:rsidP="66C8C8D7" w:rsidRDefault="487A2BA6" w14:paraId="75F52C2D" w14:textId="7B65F9A4">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87A2BA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My learning journey has been interesting and engaging as I have learned a lot, including improving my writing for clarity, using APA 7th ed. style formatting, and properly paraphrasing. I learned about the timeline of instructional design and the use of an ID model to design a mind map of ID. There was a synchronous session with my instructor where we discussed the opportunities and challenges of collaboration in ID. I learned that diversity should be considered in collaborative ID. I also found out that my instructor can fix broken links. I hope to fix broken links, eventually. I was thankful for the opportunity to use some design tools like PowerPoint, Canva, and PicsArt to complete some tasks. I seem to struggle with using links; sometimes the inserted links do not open to the required page and show an error. I will discuss this issue with my instructor. I am thankful for the timely feedback I receive from my instructor, which has helped improve my writing. My current paper requires me to create an announcement for my e-portfolio that considers the Americans with Disabilities Act (ADA) and Universal Design for Learning (UDL) guidelines. This is important because it will make my paper accessible to all readers, including those with disabilities. Westine et al. (2019) state that Universal Design for Learning enjoins instructors to consider how to deliver engaging lessons for every student, including those with disabilities. I used PicsArt to create a design for my e-portfolio announcement, including graphics to make it learner-friendly. These designs add structure to my e-portfolio announcement and make my learning journey easier to navigate as one reads it. I would use PowerPoint to design my signature activity for the week 8 assignment. Appendix A and Appendix B show the designs used in this paper.</w:t>
      </w:r>
    </w:p>
    <w:p w:rsidR="487A2BA6" w:rsidP="66C8C8D7" w:rsidRDefault="487A2BA6" w14:paraId="0674ABAD" w14:textId="45AC406C">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87A2BA6">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References</w:t>
      </w:r>
    </w:p>
    <w:p w:rsidR="487A2BA6" w:rsidP="66C8C8D7" w:rsidRDefault="487A2BA6" w14:paraId="41404303" w14:textId="7373D1DB">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87A2BA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Brown, A. H., &amp; Green, T. D. (2019). Learning environments and instructional activities. In </w:t>
      </w:r>
      <w:r w:rsidRPr="66C8C8D7" w:rsidR="487A2BA6">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The essentials of instructional design: Connecting fundamental principles with process and practice</w:t>
      </w:r>
      <w:r w:rsidRPr="66C8C8D7" w:rsidR="487A2BA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(pp. 35–59). Taylor &amp; Francis Group. </w:t>
      </w:r>
      <w:hyperlink r:id="R2655f69288884151">
        <w:r w:rsidRPr="66C8C8D7" w:rsidR="487A2BA6">
          <w:rPr>
            <w:rStyle w:val="Hyperlink"/>
            <w:rFonts w:ascii="Times New Roman" w:hAnsi="Times New Roman" w:eastAsia="Times New Roman" w:cs="Times New Roman"/>
            <w:b w:val="0"/>
            <w:bCs w:val="0"/>
            <w:i w:val="0"/>
            <w:iCs w:val="0"/>
            <w:caps w:val="0"/>
            <w:smallCaps w:val="0"/>
            <w:noProof w:val="0"/>
            <w:sz w:val="24"/>
            <w:szCs w:val="24"/>
            <w:lang w:val="en-US"/>
          </w:rPr>
          <w:t>http://ebookcentral.proquest.com/lib/nu/detail.action?docID=5894056</w:t>
        </w:r>
      </w:hyperlink>
    </w:p>
    <w:p w:rsidR="487A2BA6" w:rsidP="66C8C8D7" w:rsidRDefault="487A2BA6" w14:paraId="3A451F27" w14:textId="7E3671E0">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87A2BA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Gharehbagh, Z., Mansourzadeh, A., Khadem, A., &amp; Saeidi, M. (2022). Reflections on using open-ended questions. </w:t>
      </w:r>
      <w:r w:rsidRPr="66C8C8D7" w:rsidR="487A2BA6">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Med Edu Bull</w:t>
      </w:r>
      <w:r w:rsidRPr="66C8C8D7" w:rsidR="487A2BA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6C8C8D7" w:rsidR="487A2BA6">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3</w:t>
      </w:r>
      <w:r w:rsidRPr="66C8C8D7" w:rsidR="487A2BA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(2), 475–482. </w:t>
      </w:r>
      <w:hyperlink r:id="Rb6365f62703a4b96">
        <w:r w:rsidRPr="66C8C8D7" w:rsidR="487A2BA6">
          <w:rPr>
            <w:rStyle w:val="Hyperlink"/>
            <w:rFonts w:ascii="Times New Roman" w:hAnsi="Times New Roman" w:eastAsia="Times New Roman" w:cs="Times New Roman"/>
            <w:b w:val="0"/>
            <w:bCs w:val="0"/>
            <w:i w:val="0"/>
            <w:iCs w:val="0"/>
            <w:caps w:val="0"/>
            <w:smallCaps w:val="0"/>
            <w:noProof w:val="0"/>
            <w:sz w:val="24"/>
            <w:szCs w:val="24"/>
            <w:lang w:val="en-US"/>
          </w:rPr>
          <w:t>https://doi.org/10.22034/MEB.2022.333518.1054</w:t>
        </w:r>
      </w:hyperlink>
    </w:p>
    <w:p w:rsidR="487A2BA6" w:rsidP="66C8C8D7" w:rsidRDefault="487A2BA6" w14:paraId="08564787" w14:textId="0730FFA4">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487A2BA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Westine, C., Oyarzun, B., Ahlgrim-Delzell, L., Casto, A., Okraski, C., Park, G., Person, J., &amp; Steele, L. (2019). Familiarity, current use, and interest in universal design for learning among online university instructors. </w:t>
      </w:r>
      <w:r w:rsidRPr="66C8C8D7" w:rsidR="487A2BA6">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International Review of Research in Open and Distributed Learning</w:t>
      </w:r>
      <w:r w:rsidRPr="66C8C8D7" w:rsidR="487A2BA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6C8C8D7" w:rsidR="487A2BA6">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20</w:t>
      </w:r>
      <w:r w:rsidRPr="66C8C8D7" w:rsidR="487A2BA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(5), 20–41. </w:t>
      </w:r>
      <w:hyperlink r:id="R998b7951ac3f4b6e">
        <w:r w:rsidRPr="66C8C8D7" w:rsidR="487A2BA6">
          <w:rPr>
            <w:rStyle w:val="Hyperlink"/>
            <w:rFonts w:ascii="Times New Roman" w:hAnsi="Times New Roman" w:eastAsia="Times New Roman" w:cs="Times New Roman"/>
            <w:b w:val="0"/>
            <w:bCs w:val="0"/>
            <w:i w:val="0"/>
            <w:iCs w:val="0"/>
            <w:caps w:val="0"/>
            <w:smallCaps w:val="0"/>
            <w:noProof w:val="0"/>
            <w:sz w:val="24"/>
            <w:szCs w:val="24"/>
            <w:lang w:val="en-US"/>
          </w:rPr>
          <w:t>http://www.irrodl.org</w:t>
        </w:r>
      </w:hyperlink>
    </w:p>
    <w:p w:rsidR="66C8C8D7" w:rsidP="66C8C8D7" w:rsidRDefault="66C8C8D7" w14:paraId="573F8459" w14:textId="0AA8300A">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178C3EA5" w14:textId="1AE52071">
      <w:pPr>
        <w:bidi w:val="0"/>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40519AF6" w14:textId="2588B8BD">
      <w:pPr>
        <w:bidi w:val="0"/>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5C5A4396" w14:textId="63D49F76">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1BD699F" w14:textId="1A18C13C">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408F6861" w14:textId="559BADA1">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E5B083E" w14:textId="6C3DD956">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E4A1791" w14:textId="112B5D1A">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CB8E2DD" w14:textId="77AE2792">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45F96BF" w14:textId="507680BA">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342EA251" w14:textId="39940AC9">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2412CFA1" w:rsidP="66C8C8D7" w:rsidRDefault="2412CFA1" w14:paraId="30B087A9" w14:textId="18B4D5C6">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2412CFA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Appendix A</w:t>
      </w:r>
    </w:p>
    <w:p w:rsidR="2412CFA1" w:rsidP="66C8C8D7" w:rsidRDefault="2412CFA1" w14:paraId="6C6D10C3" w14:textId="7F9334AD">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2412CFA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My Welcome Page</w:t>
      </w:r>
    </w:p>
    <w:p w:rsidR="2412CFA1" w:rsidP="66C8C8D7" w:rsidRDefault="2412CFA1" w14:paraId="0A4D31CA" w14:textId="623DE04B">
      <w:pPr>
        <w:bidi w:val="0"/>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2412CFA1">
        <w:drawing>
          <wp:inline wp14:editId="5F907010" wp14:anchorId="7869B414">
            <wp:extent cx="3667125" cy="4743450"/>
            <wp:effectExtent l="0" t="0" r="0" b="0"/>
            <wp:docPr id="147015854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70158549" name="Picture 1470158549"/>
                    <pic:cNvPicPr/>
                  </pic:nvPicPr>
                  <pic:blipFill>
                    <a:blip xmlns:r="http://schemas.openxmlformats.org/officeDocument/2006/relationships" r:embed="rId808348101">
                      <a:extLst>
                        <a:ext uri="{28A0092B-C50C-407E-A947-70E740481C1C}">
                          <a14:useLocalDpi xmlns:a14="http://schemas.microsoft.com/office/drawing/2010/main"/>
                        </a:ext>
                      </a:extLst>
                    </a:blip>
                    <a:stretch>
                      <a:fillRect/>
                    </a:stretch>
                  </pic:blipFill>
                  <pic:spPr>
                    <a:xfrm>
                      <a:off x="0" y="0"/>
                      <a:ext cx="3667125" cy="4743450"/>
                    </a:xfrm>
                    <a:prstGeom prst="rect">
                      <a:avLst/>
                    </a:prstGeom>
                  </pic:spPr>
                </pic:pic>
              </a:graphicData>
            </a:graphic>
          </wp:inline>
        </w:drawing>
      </w:r>
    </w:p>
    <w:p w:rsidR="66C8C8D7" w:rsidP="66C8C8D7" w:rsidRDefault="66C8C8D7" w14:paraId="00E7678B" w14:textId="1339C311">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2DB235C" w14:textId="6718A6F5">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7E87FE0" w14:textId="2FC60BC6">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4D53D445" w14:textId="7C3B8ACF">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FCF0C38" w14:textId="39853BB5">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DB0C6CB" w14:textId="7AE7AECC">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37C2309C" w:rsidP="66C8C8D7" w:rsidRDefault="37C2309C" w14:paraId="007439D4" w14:textId="2D8ED751">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7C2309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Appendix B</w:t>
      </w:r>
    </w:p>
    <w:p w:rsidR="37C2309C" w:rsidP="66C8C8D7" w:rsidRDefault="37C2309C" w14:paraId="73A19E74" w14:textId="5B664602">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37C2309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Courses and Reflections</w:t>
      </w:r>
    </w:p>
    <w:p w:rsidR="37C2309C" w:rsidP="66C8C8D7" w:rsidRDefault="37C2309C" w14:paraId="59DB45D3" w14:textId="441BE940">
      <w:pPr>
        <w:bidi w:val="0"/>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37C2309C">
        <w:drawing>
          <wp:inline wp14:editId="41A681DC" wp14:anchorId="1379250D">
            <wp:extent cx="3667125" cy="4743450"/>
            <wp:effectExtent l="0" t="0" r="0" b="0"/>
            <wp:docPr id="187061814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70618141" name="Picture 1870618141"/>
                    <pic:cNvPicPr/>
                  </pic:nvPicPr>
                  <pic:blipFill>
                    <a:blip xmlns:r="http://schemas.openxmlformats.org/officeDocument/2006/relationships" r:embed="rId458623065">
                      <a:extLst>
                        <a:ext uri="{28A0092B-C50C-407E-A947-70E740481C1C}">
                          <a14:useLocalDpi xmlns:a14="http://schemas.microsoft.com/office/drawing/2010/main"/>
                        </a:ext>
                      </a:extLst>
                    </a:blip>
                    <a:stretch>
                      <a:fillRect/>
                    </a:stretch>
                  </pic:blipFill>
                  <pic:spPr>
                    <a:xfrm>
                      <a:off x="0" y="0"/>
                      <a:ext cx="3667125" cy="4743450"/>
                    </a:xfrm>
                    <a:prstGeom prst="rect">
                      <a:avLst/>
                    </a:prstGeom>
                  </pic:spPr>
                </pic:pic>
              </a:graphicData>
            </a:graphic>
          </wp:inline>
        </w:drawing>
      </w:r>
    </w:p>
    <w:p w:rsidR="66C8C8D7" w:rsidP="66C8C8D7" w:rsidRDefault="66C8C8D7" w14:paraId="40C7F4B4" w14:textId="00E6211B">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22B52C88" w14:textId="60791B47">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7E1A4D1" w14:textId="719A45BE">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5A9EA27D" w14:textId="5DB9F457">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4AD85F28" w14:textId="7500DE44">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A691E0D" w14:textId="687EEC97">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725A617E" w:rsidP="66C8C8D7" w:rsidRDefault="725A617E" w14:paraId="786678C2" w14:textId="588169FE">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25A617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To Create an Infomercial on Assessment for Instructional Design</w:t>
      </w:r>
    </w:p>
    <w:p w:rsidR="725A617E" w:rsidP="66C8C8D7" w:rsidRDefault="725A617E" w14:paraId="7A813854" w14:textId="441720A4">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25A617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Chikodinaka T. Duruaku</w:t>
      </w:r>
    </w:p>
    <w:p w:rsidR="725A617E" w:rsidP="66C8C8D7" w:rsidRDefault="725A617E" w14:paraId="0A55D56E" w14:textId="11FEF38B">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25A617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Sanford College of Education</w:t>
      </w:r>
    </w:p>
    <w:p w:rsidR="725A617E" w:rsidP="66C8C8D7" w:rsidRDefault="725A617E" w14:paraId="136C4949" w14:textId="1D8CE89C">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25A617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ID8900v1: Foundations of Instructional Design</w:t>
      </w:r>
    </w:p>
    <w:p w:rsidR="725A617E" w:rsidP="66C8C8D7" w:rsidRDefault="725A617E" w14:paraId="76998168" w14:textId="2FFF51CB">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25A617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Dr Jennifer Summerville</w:t>
      </w:r>
    </w:p>
    <w:p w:rsidR="725A617E" w:rsidP="66C8C8D7" w:rsidRDefault="725A617E" w14:paraId="21BE768D" w14:textId="22417B16">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25A617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March 21, 2026</w:t>
      </w:r>
    </w:p>
    <w:p w:rsidR="66C8C8D7" w:rsidP="66C8C8D7" w:rsidRDefault="66C8C8D7" w14:paraId="4F7D1A79" w14:textId="3ECF6B38">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D6B4E05" w14:textId="0C37380C">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C99E47F" w14:textId="0D3E2C94">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48314754" w14:textId="35D37B1B">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6DB3DAE6" w14:textId="7834AC9E">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2BC6245" w14:textId="4FC3450E">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7BD008DF" w14:textId="61021B60">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9BB450C" w14:textId="596C29FF">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45491DB4" w14:textId="51CBCE47">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5DAF9AB3" w14:textId="52AD23F7">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3D33031C" w14:textId="562D9944">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6AE83C2B" w14:textId="1DEBF2A9">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3DE6D046" w14:textId="556D064E">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972C887" w14:textId="7185A7ED">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725A617E" w:rsidP="66C8C8D7" w:rsidRDefault="725A617E" w14:paraId="39030C6D" w14:textId="73E96DE1">
      <w:pPr>
        <w:pStyle w:val="Normal"/>
        <w:suppressLineNumbers w:val="0"/>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25A617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To Create an Infomercial on Assessment for Instructional Design</w:t>
      </w:r>
    </w:p>
    <w:p w:rsidR="725A617E" w:rsidP="66C8C8D7" w:rsidRDefault="725A617E" w14:paraId="0EDB78E6" w14:textId="6A40E5EA">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25A617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Evanick (2023) states that it is important to study the evaluation methods used in student assessment to see if appropriate instructional tools have been utilized and determine areas that require adjustments. Evaluation of learning materials is used to measure the extent to which the learning objectives have been achieved. According to Pastore (2019), there are two major types of evaluation: formative and summative. He mentions examples of formative evaluation, including quizzes, homework, and knowledge checks, and adds that these should be implemented constantly. Formative evaluations aim to monitor learning progress and provide continuous feedback to improve teaching and learning. They help identify strengths and areas needing support during the learning process. Examples of summative evaluation include final grades and the evaluation of instructional outcomes. (2023) explains summative evaluation as a way to find out if there are positive learning outcomes produced after evaluation, and the effectiveness of instructional resources utilized. Thus, summative evaluations assess learning at the end of instruction to measure overall achievement against set standards. </w:t>
      </w:r>
    </w:p>
    <w:p w:rsidR="725A617E" w:rsidP="66C8C8D7" w:rsidRDefault="725A617E" w14:paraId="396299D2" w14:textId="35D8EC1D">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25A617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A successful ID evaluation is identified in a middle school's new math curriculum. Teachers noticed that students were disengaged and test scores were very low. Through formative evaluation, they collected quick exit tickets and knowledge checks and held brief student check-ins. They discovered the lessons were moving too fast and lacked real-world connections. So, they adjusted by slowing the pace, adding hands-on activities like budgeting for a birthday party and using peer support. Two weeks later, feedback showed students felt more confident and involved. A summative evaluation in the final exams showed a 35% improvement in proficiency. The school community felt the win. The achievement proved that being attentive to learners' needs and designing appropriate instruction ensures the achievement of learners' objectives.</w:t>
      </w:r>
    </w:p>
    <w:p w:rsidR="725A617E" w:rsidP="66C8C8D7" w:rsidRDefault="725A617E" w14:paraId="0BC43A66" w14:textId="7BBB0069">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25A617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To ensure successful learning outcomes, the following objectives should be considered: improving student engagement by measuring participation and collecting feedback; ensuring real-world relevance so students can apply concepts to everyday situations, such as budgeting. (2024) mention the importance of utilizing the flipped classroom to promote learning and the application of knowledge to everyday scenarios.</w:t>
      </w:r>
    </w:p>
    <w:p w:rsidR="725A617E" w:rsidP="66C8C8D7" w:rsidRDefault="725A617E" w14:paraId="0B1CC803" w14:textId="792B0D20">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25A617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Imagine a classroom where every student loves math - not just passing it, but uses it. A new math curriculum that students struggled with at the beginning became a proven success through effective instructional design, resulting in a 35% increase in proficiency, engaged learners, and committed, diligent teachers. This isn't just an improvement in assessment but a transformation in how students connect with math. Ready to bring that success to your school? Let's build confident students who are problem solvers. The time is now! </w:t>
      </w:r>
    </w:p>
    <w:p w:rsidR="725A617E" w:rsidP="66C8C8D7" w:rsidRDefault="725A617E" w14:paraId="72C686D6" w14:textId="7AE3819D">
      <w:pPr>
        <w:bidi w:val="0"/>
        <w:spacing w:after="0" w:line="48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725A617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You want a similar outcome, such as this? Contact me at </w:t>
      </w:r>
      <w:hyperlink r:id="R4f6eb9ef0aa24c51">
        <w:r w:rsidRPr="66C8C8D7" w:rsidR="725A617E">
          <w:rPr>
            <w:rStyle w:val="Hyperlink"/>
            <w:rFonts w:ascii="Times New Roman" w:hAnsi="Times New Roman" w:eastAsia="Times New Roman" w:cs="Times New Roman"/>
            <w:b w:val="0"/>
            <w:bCs w:val="0"/>
            <w:i w:val="0"/>
            <w:iCs w:val="0"/>
            <w:caps w:val="0"/>
            <w:smallCaps w:val="0"/>
            <w:strike w:val="0"/>
            <w:dstrike w:val="0"/>
            <w:noProof w:val="0"/>
            <w:color w:val="0000FF"/>
            <w:sz w:val="24"/>
            <w:szCs w:val="24"/>
            <w:u w:val="single"/>
            <w:lang w:val="en-US"/>
          </w:rPr>
          <w:t>C-Pro1@gmail.com</w:t>
        </w:r>
      </w:hyperlink>
      <w:r w:rsidRPr="66C8C8D7" w:rsidR="725A617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My name is Cheta Ede, and the contact number is (377) 777 8989. Get the advice you need for the students you care about, as I do. Thank you! </w:t>
      </w:r>
    </w:p>
    <w:p w:rsidR="66C8C8D7" w:rsidP="66C8C8D7" w:rsidRDefault="66C8C8D7" w14:paraId="2B5BE37B" w14:textId="2E4D1288">
      <w:pPr>
        <w:bidi w:val="0"/>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66C8C8D7" w:rsidP="66C8C8D7" w:rsidRDefault="66C8C8D7" w14:paraId="16CB887B" w14:textId="13BDC305">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4D5674CA" w14:textId="17179BF3">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62C2AD8" w14:textId="26164595">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1AEB807A" w14:textId="73ED1688">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3E1797FA" w14:textId="67C6A19B">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012BF41C" w14:textId="4772BBFA">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66C8C8D7" w:rsidP="66C8C8D7" w:rsidRDefault="66C8C8D7" w14:paraId="4B380BCF" w14:textId="43528B0C">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p w:rsidR="0B6AA92C" w:rsidP="66C8C8D7" w:rsidRDefault="0B6AA92C" w14:paraId="3AEBEE8F" w14:textId="43CC9CE2">
      <w:pPr>
        <w:bidi w:val="0"/>
        <w:spacing w:after="0" w:line="48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0B6AA92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References</w:t>
      </w:r>
    </w:p>
    <w:p w:rsidR="0B6AA92C" w:rsidP="66C8C8D7" w:rsidRDefault="0B6AA92C" w14:paraId="16B09CB1" w14:textId="567B9A1F">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0B6AA92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Abuhassna, H., Adnan, M., &amp; Awae, F. (2024). Exploring the synergy between instructional design models and learning theories: A systematic literature review. </w:t>
      </w:r>
      <w:r w:rsidRPr="66C8C8D7" w:rsidR="0B6AA92C">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Contemporary Educational Technology</w:t>
      </w:r>
      <w:r w:rsidRPr="66C8C8D7" w:rsidR="0B6AA92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66C8C8D7" w:rsidR="0B6AA92C">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16</w:t>
      </w:r>
      <w:r w:rsidRPr="66C8C8D7" w:rsidR="0B6AA92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(2). </w:t>
      </w:r>
      <w:hyperlink r:id="Ra985ec1303904160">
        <w:r w:rsidRPr="66C8C8D7" w:rsidR="0B6AA92C">
          <w:rPr>
            <w:rStyle w:val="Hyperlink"/>
            <w:rFonts w:ascii="Times New Roman" w:hAnsi="Times New Roman" w:eastAsia="Times New Roman" w:cs="Times New Roman"/>
            <w:b w:val="0"/>
            <w:bCs w:val="0"/>
            <w:i w:val="0"/>
            <w:iCs w:val="0"/>
            <w:caps w:val="0"/>
            <w:smallCaps w:val="0"/>
            <w:noProof w:val="0"/>
            <w:sz w:val="24"/>
            <w:szCs w:val="24"/>
            <w:lang w:val="en-US"/>
          </w:rPr>
          <w:t>https://doi.org/10.30935/cedtech/14289</w:t>
        </w:r>
      </w:hyperlink>
    </w:p>
    <w:p w:rsidR="0B6AA92C" w:rsidP="66C8C8D7" w:rsidRDefault="0B6AA92C" w14:paraId="3F6F2B29" w14:textId="3F89B465">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0B6AA92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Evanick, J. (2023). Evaluating instructional design projects: Assessing success and identifying improvement areas. </w:t>
      </w:r>
      <w:r w:rsidRPr="66C8C8D7" w:rsidR="0B6AA92C">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Elearning Industry</w:t>
      </w:r>
      <w:r w:rsidRPr="66C8C8D7" w:rsidR="0B6AA92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p>
    <w:p w:rsidR="0B6AA92C" w:rsidP="66C8C8D7" w:rsidRDefault="0B6AA92C" w14:paraId="26E5C1A1" w14:textId="6BB3949D">
      <w:pPr>
        <w:bidi w:val="0"/>
        <w:spacing w:after="0" w:line="480" w:lineRule="auto"/>
        <w:ind w:left="720" w:hanging="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6C8C8D7" w:rsidR="0B6AA92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Pastore, R. (Director). (2019). </w:t>
      </w:r>
      <w:r w:rsidRPr="66C8C8D7" w:rsidR="0B6AA92C">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en-US"/>
        </w:rPr>
        <w:t>Evaluation in instructional design</w:t>
      </w:r>
      <w:r w:rsidRPr="66C8C8D7" w:rsidR="0B6AA92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[Film]. YouTube Channel. </w:t>
      </w:r>
      <w:hyperlink r:id="Rb8aa67b5c68d4a18">
        <w:r w:rsidRPr="66C8C8D7" w:rsidR="0B6AA92C">
          <w:rPr>
            <w:rStyle w:val="Hyperlink"/>
            <w:rFonts w:ascii="Times New Roman" w:hAnsi="Times New Roman" w:eastAsia="Times New Roman" w:cs="Times New Roman"/>
            <w:b w:val="0"/>
            <w:bCs w:val="0"/>
            <w:i w:val="0"/>
            <w:iCs w:val="0"/>
            <w:caps w:val="0"/>
            <w:smallCaps w:val="0"/>
            <w:noProof w:val="0"/>
            <w:sz w:val="24"/>
            <w:szCs w:val="24"/>
            <w:lang w:val="en-US"/>
          </w:rPr>
          <w:t>http://www.raypastore.com</w:t>
        </w:r>
      </w:hyperlink>
    </w:p>
    <w:p w:rsidR="66C8C8D7" w:rsidP="66C8C8D7" w:rsidRDefault="66C8C8D7" w14:paraId="5617DFAC" w14:textId="36A04214">
      <w:pPr>
        <w:pStyle w:val="Normal"/>
        <w:suppressLineNumbers w:val="0"/>
        <w:bidi w:val="0"/>
        <w:spacing w:before="0" w:beforeAutospacing="off" w:after="160" w:afterAutospacing="off" w:line="480" w:lineRule="auto"/>
        <w:ind w:left="0" w:right="0"/>
        <w:jc w:val="left"/>
        <w:rPr>
          <w:rFonts w:ascii="Times New Roman" w:hAnsi="Times New Roman" w:eastAsia="Times New Roman" w:cs="Times New Roman"/>
          <w:b w:val="0"/>
          <w:bCs w:val="0"/>
          <w:i w:val="0"/>
          <w:iCs w:val="0"/>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891FBBC"/>
    <w:rsid w:val="005BC6AD"/>
    <w:rsid w:val="09816BB9"/>
    <w:rsid w:val="0B6AA92C"/>
    <w:rsid w:val="0BD3F46C"/>
    <w:rsid w:val="0CB16F51"/>
    <w:rsid w:val="0F8F2070"/>
    <w:rsid w:val="10CAED6C"/>
    <w:rsid w:val="116F8987"/>
    <w:rsid w:val="159F51F4"/>
    <w:rsid w:val="159F51F4"/>
    <w:rsid w:val="16070FB7"/>
    <w:rsid w:val="16E27041"/>
    <w:rsid w:val="197E7D30"/>
    <w:rsid w:val="1AA272D6"/>
    <w:rsid w:val="1B648A2E"/>
    <w:rsid w:val="1BF81271"/>
    <w:rsid w:val="1CE8C1A3"/>
    <w:rsid w:val="1CE8C8B1"/>
    <w:rsid w:val="1D6D6477"/>
    <w:rsid w:val="1FF106EE"/>
    <w:rsid w:val="23ADC166"/>
    <w:rsid w:val="23D1A943"/>
    <w:rsid w:val="23D93033"/>
    <w:rsid w:val="2412CFA1"/>
    <w:rsid w:val="294F63D8"/>
    <w:rsid w:val="2ABA575E"/>
    <w:rsid w:val="2B554186"/>
    <w:rsid w:val="2DADB19A"/>
    <w:rsid w:val="3270BF6C"/>
    <w:rsid w:val="32C9F9AC"/>
    <w:rsid w:val="336DDE6A"/>
    <w:rsid w:val="337A931A"/>
    <w:rsid w:val="34248CFF"/>
    <w:rsid w:val="34248CFF"/>
    <w:rsid w:val="343768E5"/>
    <w:rsid w:val="35106F5F"/>
    <w:rsid w:val="35240A73"/>
    <w:rsid w:val="366FBDCA"/>
    <w:rsid w:val="36A9A145"/>
    <w:rsid w:val="37C2309C"/>
    <w:rsid w:val="37DDE747"/>
    <w:rsid w:val="383FFE9D"/>
    <w:rsid w:val="3B60C34C"/>
    <w:rsid w:val="3C914A1F"/>
    <w:rsid w:val="41D8F504"/>
    <w:rsid w:val="42027286"/>
    <w:rsid w:val="4671863C"/>
    <w:rsid w:val="467F575B"/>
    <w:rsid w:val="487A2BA6"/>
    <w:rsid w:val="4891FBBC"/>
    <w:rsid w:val="489CE075"/>
    <w:rsid w:val="4990F283"/>
    <w:rsid w:val="4E439FE6"/>
    <w:rsid w:val="4EADC478"/>
    <w:rsid w:val="4F98C1F1"/>
    <w:rsid w:val="51F472AA"/>
    <w:rsid w:val="52325A1D"/>
    <w:rsid w:val="53B02CCC"/>
    <w:rsid w:val="54AD02FF"/>
    <w:rsid w:val="590809F4"/>
    <w:rsid w:val="5A709587"/>
    <w:rsid w:val="5BB69798"/>
    <w:rsid w:val="5C3DBA9F"/>
    <w:rsid w:val="5E0000F0"/>
    <w:rsid w:val="5E5211AC"/>
    <w:rsid w:val="5E68A766"/>
    <w:rsid w:val="64EE580E"/>
    <w:rsid w:val="65EFFDE7"/>
    <w:rsid w:val="663AAF7A"/>
    <w:rsid w:val="66878A3B"/>
    <w:rsid w:val="66C8C8D7"/>
    <w:rsid w:val="6840A91E"/>
    <w:rsid w:val="695BF8C5"/>
    <w:rsid w:val="6A553F18"/>
    <w:rsid w:val="6B5E70E1"/>
    <w:rsid w:val="6BAC2643"/>
    <w:rsid w:val="6C3DA5FE"/>
    <w:rsid w:val="6CC08DC2"/>
    <w:rsid w:val="6DA26A51"/>
    <w:rsid w:val="6DF8E2F5"/>
    <w:rsid w:val="6EB59CC3"/>
    <w:rsid w:val="6ECDDC82"/>
    <w:rsid w:val="6F63160C"/>
    <w:rsid w:val="703CF2EE"/>
    <w:rsid w:val="725A617E"/>
    <w:rsid w:val="72AA511C"/>
    <w:rsid w:val="7463D4CE"/>
    <w:rsid w:val="76B17BDB"/>
    <w:rsid w:val="76B17BDB"/>
    <w:rsid w:val="771C9C35"/>
    <w:rsid w:val="7762D0CE"/>
    <w:rsid w:val="7797B2DD"/>
    <w:rsid w:val="7797B2DD"/>
    <w:rsid w:val="7854383E"/>
    <w:rsid w:val="78A1D587"/>
    <w:rsid w:val="7A7829DB"/>
    <w:rsid w:val="7B18C61F"/>
    <w:rsid w:val="7BC00F47"/>
    <w:rsid w:val="7DDB8FD2"/>
    <w:rsid w:val="7DDB8FD2"/>
    <w:rsid w:val="7ED6A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1FBBC"/>
  <w15:chartTrackingRefBased/>
  <w15:docId w15:val="{19201FE1-A701-404C-B4CF-5F3608AF21E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uiPriority w:val="99"/>
    <w:name w:val="Hyperlink"/>
    <w:basedOn w:val="DefaultParagraphFont"/>
    <w:unhideWhenUsed/>
    <w:rsid w:val="66C8C8D7"/>
    <w:rPr>
      <w:color w:val="467886"/>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Id161351685" /><Relationship Type="http://schemas.openxmlformats.org/officeDocument/2006/relationships/hyperlink" Target="https://doi.org/10.1109/ACROSET62108.2024.10743688" TargetMode="External" Id="Rf25c2b78517d4cc3" /><Relationship Type="http://schemas.openxmlformats.org/officeDocument/2006/relationships/hyperlink" Target="http://ebookcentral.proquest.com/lib/nu/detail.action?docID=5894056" TargetMode="External" Id="R3009ba20adf44f6e" /><Relationship Type="http://schemas.openxmlformats.org/officeDocument/2006/relationships/hyperlink" Target="http://ebookcentral.proquest.com/lib/nu/detail.action?docID=5894056" TargetMode="External" Id="Rae1d1c5d2700486c" /><Relationship Type="http://schemas.openxmlformats.org/officeDocument/2006/relationships/hyperlink" Target="https://doi.org/10.1109/ICTAS64866.2025.11155607" TargetMode="External" Id="Rb99372e218fe4d15" /><Relationship Type="http://schemas.openxmlformats.org/officeDocument/2006/relationships/hyperlink" Target="https://doi.org/10.5281/zenodo.15041572" TargetMode="External" Id="R8c56819fa450439f" /><Relationship Type="http://schemas.openxmlformats.org/officeDocument/2006/relationships/hyperlink" Target="https://studentnu-my.sharepoint.com/:w:/r/personal/c_duruaku5394_student_nu_edu/_layouts/15/Doc.aspx?sourcedoc=%7BD3AC48E9-910A-4A62-88CC-35415995353C%7D&amp;file=DuruakuCID8900v1-1_SummervilleReview02102026%201.docx&amp;action=default&amp;mobileredirect=true&amp;wdOrigin=APPHOME-WEB.DIRECT%2CAPPHOME-WEB.BANNER.UPLOAD&amp;wdPreviousSession=1599aec1-b66d-4f59-a8bb-4bec0938279e&amp;wdPreviousSessionSrc=AppHomeWeb&amp;ct=1774476568774" TargetMode="External" Id="R4c6fd6a5c8ce47af" /><Relationship Type="http://schemas.openxmlformats.org/officeDocument/2006/relationships/hyperlink" Target="https://doi.org/10.46360/globus.mgt,xxxxxxxx" TargetMode="External" Id="R4c61cfc0aa9e420f" /><Relationship Type="http://schemas.openxmlformats.org/officeDocument/2006/relationships/hyperlink" Target="http://www.isetl.org/ijtlhe/" TargetMode="External" Id="R0d865d7e7b03462a" /><Relationship Type="http://schemas.openxmlformats.org/officeDocument/2006/relationships/hyperlink" Target="https://doi.org/10.3389/fpsyg.2022.1079385" TargetMode="External" Id="R5f9b890a88ac4e63" /><Relationship Type="http://schemas.openxmlformats.org/officeDocument/2006/relationships/image" Target="/media/image2.png" Id="rId737103199" /><Relationship Type="http://schemas.openxmlformats.org/officeDocument/2006/relationships/hyperlink" Target="https://e-journal.undikma.ac.id/index.php/hydrogen/index" TargetMode="External" Id="Rdca8dfb42b424afd" /><Relationship Type="http://schemas.openxmlformats.org/officeDocument/2006/relationships/hyperlink" Target="https://doi.org/10.1515/cti-2022-0039" TargetMode="External" Id="Raf2e38f861244b4f" /><Relationship Type="http://schemas.openxmlformats.org/officeDocument/2006/relationships/hyperlink" Target="https://doi.org/10.1007/s12564-022-09746-9" TargetMode="External" Id="R55097f0403324ae8" /><Relationship Type="http://schemas.openxmlformats.org/officeDocument/2006/relationships/image" Target="/media/image3.png" Id="rId491423740" /><Relationship Type="http://schemas.openxmlformats.org/officeDocument/2006/relationships/hyperlink" Target="https://e-journal.undikma.ac.id/index.php/hydrogen/index" TargetMode="External" Id="R201086cdff53486e" /><Relationship Type="http://schemas.openxmlformats.org/officeDocument/2006/relationships/hyperlink" Target="https://doi.org/10.1515/cti-2022-0039" TargetMode="External" Id="R7ed904017b03436f" /><Relationship Type="http://schemas.openxmlformats.org/officeDocument/2006/relationships/hyperlink" Target="https://doi.org/10.1007/s12564-022-09746-9" TargetMode="External" Id="R910ec555b9fb4394" /><Relationship Type="http://schemas.openxmlformats.org/officeDocument/2006/relationships/hyperlink" Target="https://doi.org/10.21061/jte.v36i2.a.3" TargetMode="External" Id="R3441a5363d08428a" /><Relationship Type="http://schemas.openxmlformats.org/officeDocument/2006/relationships/hyperlink" Target="https://www.thejeo.com" TargetMode="External" Id="R71e4f76329c24317" /><Relationship Type="http://schemas.openxmlformats.org/officeDocument/2006/relationships/hyperlink" Target="https://doi.org/DOI:10.59668/354.5896" TargetMode="External" Id="Rb9fc1ee7f0fc417d" /><Relationship Type="http://schemas.openxmlformats.org/officeDocument/2006/relationships/hyperlink" Target="https://doi.org/10.59668/354.5896" TargetMode="External" Id="R0d72033a39924ca0" /><Relationship Type="http://schemas.openxmlformats.org/officeDocument/2006/relationships/hyperlink" Target="https://doi.org/10.1080/10494820.2023.2299976" TargetMode="External" Id="R8035904a15f64b12" /><Relationship Type="http://schemas.openxmlformats.org/officeDocument/2006/relationships/hyperlink" Target="https://eric.ed.gov/?id=EJ1311023" TargetMode="External" Id="R49a141089cf44602" /><Relationship Type="http://schemas.openxmlformats.org/officeDocument/2006/relationships/hyperlink" Target="https://www.thejeo.com" TargetMode="External" Id="R26cfc7d319984f0f" /><Relationship Type="http://schemas.openxmlformats.org/officeDocument/2006/relationships/hyperlink" Target="https://doi.org/DOI:10.59668/354.5896" TargetMode="External" Id="R0fbbbb3814ec4aa7" /><Relationship Type="http://schemas.openxmlformats.org/officeDocument/2006/relationships/hyperlink" Target="http://ebookcentral.proquest.com/lib/nu/detail.action?docID=5894056" TargetMode="External" Id="R6f044134b6fb4310" /><Relationship Type="http://schemas.openxmlformats.org/officeDocument/2006/relationships/hyperlink" Target="http://ebookcentral.proquest.com/lib/nu/detail.action?docID=5894056" TargetMode="External" Id="R01af4308e31349b5" /><Relationship Type="http://schemas.openxmlformats.org/officeDocument/2006/relationships/hyperlink" Target="https://doi.org/10.4135/9781529673029" TargetMode="External" Id="R46d55fbe136846ca" /><Relationship Type="http://schemas.openxmlformats.org/officeDocument/2006/relationships/hyperlink" Target="https://doi.org/10.70725/151091uinlek" TargetMode="External" Id="R0c9651407a604fdc" /><Relationship Type="http://schemas.openxmlformats.org/officeDocument/2006/relationships/hyperlink" Target="https://doi.org/10.24193/subbpsyped.2025.2.09" TargetMode="External" Id="R63b863bc2c2149b6" /><Relationship Type="http://schemas.openxmlformats.org/officeDocument/2006/relationships/hyperlink" Target="https://doi.org/10.22034/MEB.2022.333518.1054" TargetMode="External" Id="Rcf6e07fca00e459f" /><Relationship Type="http://schemas.openxmlformats.org/officeDocument/2006/relationships/hyperlink" Target="https://doi.org/10.1007/s40692-022-00257-5" TargetMode="External" Id="R93a45530ffa04246" /><Relationship Type="http://schemas.openxmlformats.org/officeDocument/2006/relationships/hyperlink" Target="https://cdnapisec.kaltura.com/index.php/extwidget/preview/partner_id/2318331/uiconf_id/40358881/entry_id/1_9cnvy65d/embed/dynamic" TargetMode="External" Id="R2defb96a483249c6" /><Relationship Type="http://schemas.openxmlformats.org/officeDocument/2006/relationships/image" Target="/media/image4.png" Id="rId2068013857" /><Relationship Type="http://schemas.openxmlformats.org/officeDocument/2006/relationships/hyperlink" Target="http://ebookcentral.proquest.com/lib/nu/detail.action?docID=5894056" TargetMode="External" Id="R2655f69288884151" /><Relationship Type="http://schemas.openxmlformats.org/officeDocument/2006/relationships/hyperlink" Target="https://doi.org/10.22034/MEB.2022.333518.1054" TargetMode="External" Id="Rb6365f62703a4b96" /><Relationship Type="http://schemas.openxmlformats.org/officeDocument/2006/relationships/hyperlink" Target="http://www.irrodl.org" TargetMode="External" Id="R998b7951ac3f4b6e" /><Relationship Type="http://schemas.openxmlformats.org/officeDocument/2006/relationships/image" Target="/media/image5.png" Id="rId808348101" /><Relationship Type="http://schemas.openxmlformats.org/officeDocument/2006/relationships/image" Target="/media/image6.png" Id="rId458623065" /><Relationship Type="http://schemas.openxmlformats.org/officeDocument/2006/relationships/hyperlink" Target="mailto:C-Pro@gmail.com" TargetMode="External" Id="R4f6eb9ef0aa24c51" /><Relationship Type="http://schemas.openxmlformats.org/officeDocument/2006/relationships/hyperlink" Target="https://doi.org/10.30935/cedtech/14289" TargetMode="External" Id="Ra985ec1303904160" /><Relationship Type="http://schemas.openxmlformats.org/officeDocument/2006/relationships/hyperlink" Target="http://www.raypastore.com" TargetMode="External" Id="Rb8aa67b5c68d4a18"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2026-03-25T21:44:16.7310694Z</dcterms:created>
  <dcterms:modified xsi:type="dcterms:W3CDTF">2026-03-26T00:34:06.1642690Z</dcterms:modified>
  <dc:creator>Chikodinaka Duruaku</dc:creator>
  <lastModifiedBy>Chikodinaka Duruaku</lastModifiedBy>
</coreProperties>
</file>